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The Securities Exchange Act of 1934</w:t>
      </w:r>
    </w:p>
    <w:p>
      <w:pPr>
        <w:sectPr>
          <w:pgSz w:w="11900" w:h="16870" w:orient="portrait"/>
          <w:cols w:equalWidth="0" w:num="1">
            <w:col w:w="11360"/>
          </w:cols>
          <w:pgMar w:left="240" w:top="747" w:right="299" w:bottom="0" w:gutter="0" w:footer="0" w:header="0"/>
        </w:sectPr>
      </w:pPr>
    </w:p>
    <w:p>
      <w:pPr>
        <w:spacing w:after="0" w:line="206" w:lineRule="exact"/>
        <w:rPr>
          <w:sz w:val="24"/>
          <w:szCs w:val="24"/>
          <w:color w:val="auto"/>
        </w:rPr>
      </w:pPr>
    </w:p>
    <w:p>
      <w:pPr>
        <w:ind w:left="2920"/>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September 21, 2006</w:t>
      </w:r>
    </w:p>
    <w:p>
      <w:pPr>
        <w:spacing w:after="0" w:line="204" w:lineRule="exact"/>
        <w:rPr>
          <w:sz w:val="24"/>
          <w:szCs w:val="24"/>
          <w:color w:val="auto"/>
        </w:rPr>
      </w:pPr>
    </w:p>
    <w:p>
      <w:pPr>
        <w:sectPr>
          <w:pgSz w:w="11900" w:h="16870" w:orient="portrait"/>
          <w:cols w:equalWidth="0" w:num="2">
            <w:col w:w="6340" w:space="660"/>
            <w:col w:w="4360"/>
          </w:cols>
          <w:pgMar w:left="240" w:top="747" w:right="299" w:bottom="0" w:gutter="0" w:footer="0" w:header="0"/>
          <w:type w:val="continuous"/>
        </w:sect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0" w:orient="portrait"/>
          <w:cols w:equalWidth="0" w:num="1">
            <w:col w:w="11360"/>
          </w:cols>
          <w:pgMar w:left="240" w:top="747" w:right="299" w:bottom="0" w:gutter="0" w:footer="0" w:header="0"/>
          <w:type w:val="continuous"/>
        </w:sectPr>
      </w:pPr>
    </w:p>
    <w:p>
      <w:pPr>
        <w:spacing w:after="0" w:line="205"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0-51813</w:t>
      </w:r>
    </w:p>
    <w:p>
      <w:pPr>
        <w:spacing w:after="0" w:line="27" w:lineRule="exact"/>
        <w:rPr>
          <w:sz w:val="24"/>
          <w:szCs w:val="24"/>
          <w:color w:val="auto"/>
        </w:rPr>
      </w:pPr>
    </w:p>
    <w:p>
      <w:pPr>
        <w:jc w:val="center"/>
        <w:ind w:right="22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2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52-2209244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70" w:orient="portrait"/>
          <w:cols w:equalWidth="0" w:num="3">
            <w:col w:w="4260" w:space="720"/>
            <w:col w:w="3220" w:space="720"/>
            <w:col w:w="2440"/>
          </w:cols>
          <w:pgMar w:left="240" w:top="747" w:right="299" w:bottom="0" w:gutter="0" w:footer="0" w:header="0"/>
          <w:type w:val="continuous"/>
        </w:sectPr>
      </w:pPr>
    </w:p>
    <w:p>
      <w:pPr>
        <w:spacing w:after="0" w:line="223"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1920 L Street, N.W., 6th Floor, Washington, D.C</w:t>
      </w:r>
    </w:p>
    <w:p>
      <w:pPr>
        <w:spacing w:after="0" w:line="50"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20036</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70" w:orient="portrait"/>
          <w:cols w:equalWidth="0" w:num="2">
            <w:col w:w="7720" w:space="720"/>
            <w:col w:w="2920"/>
          </w:cols>
          <w:pgMar w:left="240" w:top="747" w:right="299" w:bottom="0" w:gutter="0" w:footer="0" w:header="0"/>
          <w:type w:val="continuous"/>
        </w:sectPr>
      </w:pPr>
    </w:p>
    <w:p>
      <w:pPr>
        <w:spacing w:after="0" w:line="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(202) 467-6868</w:t>
      </w:r>
    </w:p>
    <w:p>
      <w:pPr>
        <w:spacing w:after="0" w:line="204" w:lineRule="exact"/>
        <w:rPr>
          <w:sz w:val="24"/>
          <w:szCs w:val="24"/>
          <w:color w:val="auto"/>
        </w:rPr>
      </w:pPr>
    </w:p>
    <w:p>
      <w:pPr>
        <w:sectPr>
          <w:pgSz w:w="11900" w:h="16870" w:orient="portrait"/>
          <w:cols w:equalWidth="0" w:num="2">
            <w:col w:w="7560" w:space="720"/>
            <w:col w:w="3080"/>
          </w:cols>
          <w:pgMar w:left="240" w:top="747" w:right="299" w:bottom="0" w:gutter="0" w:footer="0" w:header="0"/>
          <w:type w:val="continuous"/>
        </w:sect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2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360"/>
        <w:spacing w:after="0" w:line="264" w:lineRule="auto"/>
        <w:rPr>
          <w:sz w:val="20"/>
          <w:szCs w:val="20"/>
          <w:color w:val="auto"/>
        </w:rPr>
      </w:pPr>
      <w:r>
        <w:rPr>
          <w:rFonts w:ascii="Arial" w:cs="Arial" w:eastAsia="Arial" w:hAnsi="Arial"/>
          <w:sz w:val="18"/>
          <w:szCs w:val="18"/>
          <w:color w:val="auto"/>
        </w:rPr>
        <w:t>On September 21, 2006, the Compensation Committee of the Board of Directors of Liquidity Services, Inc. (“LSI”) established the base salary levels for LSI’s executive officers for the fiscal year ending September 30, 2007. The base salary levels for the Chairman and Chief Executive Officer and the other four most highly compensated executive officers of LSI are set forth below.</w:t>
      </w:r>
    </w:p>
    <w:p>
      <w:pPr>
        <w:spacing w:after="0" w:line="359" w:lineRule="exact"/>
        <w:rPr>
          <w:sz w:val="24"/>
          <w:szCs w:val="24"/>
          <w:color w:val="auto"/>
        </w:rPr>
      </w:pPr>
    </w:p>
    <w:tbl>
      <w:tblPr>
        <w:tblLayout w:type="fixed"/>
        <w:tblInd w:w="1860" w:type="dxa"/>
        <w:tblCellMar>
          <w:top w:w="0" w:type="dxa"/>
          <w:left w:w="0" w:type="dxa"/>
          <w:bottom w:w="0" w:type="dxa"/>
          <w:right w:w="0" w:type="dxa"/>
        </w:tblCellMar>
      </w:tblP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720" w:type="dxa"/>
            <w:vAlign w:val="bottom"/>
            <w:gridSpan w:val="4"/>
          </w:tcPr>
          <w:p>
            <w:pPr>
              <w:ind w:left="220"/>
              <w:spacing w:after="0"/>
              <w:rPr>
                <w:sz w:val="20"/>
                <w:szCs w:val="20"/>
                <w:color w:val="auto"/>
              </w:rPr>
            </w:pPr>
            <w:r>
              <w:rPr>
                <w:rFonts w:ascii="Arial" w:cs="Arial" w:eastAsia="Arial" w:hAnsi="Arial"/>
                <w:sz w:val="14"/>
                <w:szCs w:val="14"/>
                <w:b w:val="1"/>
                <w:bCs w:val="1"/>
                <w:color w:val="auto"/>
                <w:w w:val="96"/>
              </w:rPr>
              <w:t>Annual Base Salary for</w:t>
            </w:r>
          </w:p>
        </w:tc>
        <w:tc>
          <w:tcPr>
            <w:tcW w:w="0" w:type="dxa"/>
            <w:vAlign w:val="bottom"/>
          </w:tcPr>
          <w:p>
            <w:pPr>
              <w:spacing w:after="0"/>
              <w:rPr>
                <w:sz w:val="1"/>
                <w:szCs w:val="1"/>
                <w:color w:val="auto"/>
              </w:rPr>
            </w:pPr>
          </w:p>
        </w:tc>
      </w:tr>
      <w:tr>
        <w:trPr>
          <w:trHeight w:val="162"/>
        </w:trPr>
        <w:tc>
          <w:tcPr>
            <w:tcW w:w="5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 2007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William P. Angrick, III</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Chairman and Chief Executive Officer</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rPr>
              <w:t>Jaime Mateus-Tique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i w:val="1"/>
                <w:iCs w:val="1"/>
                <w:color w:val="auto"/>
              </w:rPr>
              <w:t>President, Chief Operating Officer</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Benjamin Brown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Chairman, LSI’s Technology Advisory Committee, and Chief Technology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Officer, Government Liquidation.com, LLC</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rPr>
              <w:t>James M. Rallo</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i w:val="1"/>
                <w:iCs w:val="1"/>
                <w:color w:val="auto"/>
              </w:rPr>
              <w:t>Chief Financial Officer and Treasurer</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B. Burton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President and Chief Operating Officer, Government Liquidation.com, LLC</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70" w:orient="portrait"/>
          <w:cols w:equalWidth="0" w:num="1">
            <w:col w:w="11360"/>
          </w:cols>
          <w:pgMar w:left="240" w:top="747" w:right="2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right="10200" w:hanging="352"/>
        <w:spacing w:after="0" w:line="57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rPr>
              <w:t>LIQUIDITY SERVICES, INC.</w:t>
            </w:r>
          </w:p>
        </w:tc>
        <w:tc>
          <w:tcPr>
            <w:tcW w:w="40" w:type="dxa"/>
            <w:vAlign w:val="bottom"/>
          </w:tcPr>
          <w:p>
            <w:pPr>
              <w:spacing w:after="0"/>
              <w:rPr>
                <w:sz w:val="19"/>
                <w:szCs w:val="19"/>
                <w:color w:val="auto"/>
              </w:rPr>
            </w:pPr>
          </w:p>
        </w:tc>
      </w:tr>
      <w:tr>
        <w:trPr>
          <w:trHeight w:val="230"/>
        </w:trPr>
        <w:tc>
          <w:tcPr>
            <w:tcW w:w="3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September 29, 2006</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Williams</w:t>
            </w:r>
          </w:p>
        </w:tc>
        <w:tc>
          <w:tcPr>
            <w:tcW w:w="4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James E. Williams</w:t>
            </w:r>
          </w:p>
        </w:tc>
        <w:tc>
          <w:tcPr>
            <w:tcW w:w="4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Title:Vice President, General Counsel and Secretary</w:t>
            </w:r>
          </w:p>
        </w:tc>
        <w:tc>
          <w:tcPr>
            <w:tcW w:w="40" w:type="dxa"/>
            <w:vAlign w:val="bottom"/>
          </w:tcPr>
          <w:p>
            <w:pPr>
              <w:spacing w:after="0"/>
              <w:rPr>
                <w:sz w:val="20"/>
                <w:szCs w:val="20"/>
                <w:color w:val="auto"/>
              </w:rPr>
            </w:pPr>
          </w:p>
        </w:tc>
      </w:tr>
      <w:tr>
        <w:trPr>
          <w:trHeight w:val="807"/>
        </w:trPr>
        <w:tc>
          <w:tcPr>
            <w:tcW w:w="382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5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2019-12-15T06:54:52Z</dcterms:created>
  <dcterms:modified xsi:type="dcterms:W3CDTF">2019-12-15T06:54:52Z</dcterms:modified>
</cp:coreProperties>
</file>