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1348740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122555</wp:posOffset>
            </wp:positionV>
            <wp:extent cx="1800225" cy="1011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1011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Liquidity Services, Inc.</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0-51813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52-2209244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6931 Arlington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460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Bethesda,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20814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4676868</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LQDT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74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5, 2026, Liquidity Services, Inc. (the “Company”) announced its financial results for the quarter ended December 31, 2025. The full text of the press release (the “Press Release”) issued in connection with the announcement is attached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Press Release shall be considered “furnished” pursuant to Item 2.02 of Form 8-K and shall not be deemed to be “filed” for purposes of Section 18 of the Securities Exchange Act of 1934, as amended, or otherwise subject to the liabilities of that Section or Sections 11 and 12(a)</w:t>
      </w:r>
    </w:p>
    <w:p>
      <w:pPr>
        <w:jc w:val="both"/>
        <w:ind w:firstLine="8"/>
        <w:spacing w:after="0" w:line="255" w:lineRule="auto"/>
        <w:tabs>
          <w:tab w:leader="none" w:pos="2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nor shall it be deemed incorporated by reference into any of the Company’s reports or filings with the Securities and Exchange Commission, whether made before or after the date hereof, except as expressly set forth by specific reference in such report or filing.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of Liquidity Services, Inc., dated February 5, 2026, announcing financial results for the quarter ended December 31,</w:t>
            </w:r>
          </w:p>
        </w:tc>
      </w:tr>
      <w:tr>
        <w:trPr>
          <w:trHeight w:val="196"/>
        </w:trPr>
        <w:tc>
          <w:tcPr>
            <w:tcW w:w="160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2025.</w:t>
            </w:r>
          </w:p>
        </w:tc>
        <w:tc>
          <w:tcPr>
            <w:tcW w:w="20" w:type="dxa"/>
            <w:vAlign w:val="bottom"/>
            <w:tcBorders>
              <w:top w:val="single" w:sz="8" w:color="0000FF"/>
              <w:bottom w:val="single" w:sz="8" w:color="0000EE"/>
            </w:tcBorders>
          </w:tcPr>
          <w:p>
            <w:pPr>
              <w:spacing w:after="0"/>
              <w:rPr>
                <w:sz w:val="17"/>
                <w:szCs w:val="17"/>
                <w:color w:val="auto"/>
              </w:rPr>
            </w:pPr>
          </w:p>
        </w:tc>
        <w:tc>
          <w:tcPr>
            <w:tcW w:w="90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LIQUIDITY SERVICES, INC.</w:t>
      </w:r>
    </w:p>
    <w:p>
      <w:pPr>
        <w:spacing w:after="0" w:line="8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90"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Shaffer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A. Shaffer</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8" w:lineRule="exact"/>
        <w:rPr>
          <w:sz w:val="20"/>
          <w:szCs w:val="20"/>
          <w:color w:val="auto"/>
        </w:rPr>
      </w:pPr>
    </w:p>
    <w:p>
      <w:pPr>
        <w:ind w:left="1160" w:right="1200" w:hanging="437"/>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LIQUIDITY SERVICES ANNOUNCES FIRST QUARTER FISCAL YEAR 2026 FINANCIAL RESULTS </w:t>
      </w:r>
      <w:r>
        <w:rPr>
          <w:rFonts w:ascii="Times New Roman" w:cs="Times New Roman" w:eastAsia="Times New Roman" w:hAnsi="Times New Roman"/>
          <w:sz w:val="19"/>
          <w:szCs w:val="19"/>
          <w:b w:val="1"/>
          <w:bCs w:val="1"/>
          <w:i w:val="1"/>
          <w:iCs w:val="1"/>
          <w:color w:val="auto"/>
        </w:rPr>
        <w:t>Strong First Quarter Fueled by Market Share Expansion, Multi-Channel Buyer Participation and Operating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Leverage from Technology-Based Platform Momentum</w:t>
      </w:r>
    </w:p>
    <w:p>
      <w:pPr>
        <w:spacing w:after="0" w:line="208" w:lineRule="exact"/>
        <w:rPr>
          <w:sz w:val="20"/>
          <w:szCs w:val="20"/>
          <w:color w:val="auto"/>
        </w:rPr>
      </w:pPr>
    </w:p>
    <w:p>
      <w:pPr>
        <w:jc w:val="both"/>
        <w:ind w:right="7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Bethesda, MD - February 5, 2026 - </w:t>
      </w:r>
      <w:r>
        <w:rPr>
          <w:rFonts w:ascii="Times New Roman" w:cs="Times New Roman" w:eastAsia="Times New Roman" w:hAnsi="Times New Roman"/>
          <w:sz w:val="18"/>
          <w:szCs w:val="18"/>
          <w:color w:val="auto"/>
        </w:rPr>
        <w:t>Liquidity Services (NASDAQ:LQDT; www.liquidityservices.com), the leading global provider of e-commerce marketplaces and software solutions powering the circular economy, today announced its financial results for its fiscal quarter ended December 31, 2025, as compared to the corresponding prior year quarter:</w:t>
      </w:r>
    </w:p>
    <w:p>
      <w:pPr>
        <w:spacing w:after="0" w:line="175" w:lineRule="exact"/>
        <w:rPr>
          <w:sz w:val="20"/>
          <w:szCs w:val="20"/>
          <w:color w:val="auto"/>
        </w:rPr>
      </w:pPr>
    </w:p>
    <w:p>
      <w:pPr>
        <w:ind w:left="540" w:hanging="345"/>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Merchandise Volume (GMV) of $398.0 million, up 3%, and Revenue of $121.2 million, down 1%</w:t>
      </w:r>
    </w:p>
    <w:p>
      <w:pPr>
        <w:spacing w:after="0" w:line="27" w:lineRule="exact"/>
        <w:rPr>
          <w:rFonts w:ascii="Times New Roman" w:cs="Times New Roman" w:eastAsia="Times New Roman" w:hAnsi="Times New Roman"/>
          <w:sz w:val="18"/>
          <w:szCs w:val="18"/>
          <w:color w:val="auto"/>
        </w:rPr>
      </w:pPr>
    </w:p>
    <w:p>
      <w:pPr>
        <w:ind w:left="540" w:hanging="345"/>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$7.5 million, up 29%, and GAAP Diluted Earnings Per Share (EPS) of $0.23, up 28%</w:t>
      </w:r>
    </w:p>
    <w:p>
      <w:pPr>
        <w:spacing w:after="0" w:line="9" w:lineRule="exact"/>
        <w:rPr>
          <w:rFonts w:ascii="Times New Roman" w:cs="Times New Roman" w:eastAsia="Times New Roman" w:hAnsi="Times New Roman"/>
          <w:sz w:val="18"/>
          <w:szCs w:val="18"/>
          <w:color w:val="auto"/>
        </w:rPr>
      </w:pPr>
    </w:p>
    <w:p>
      <w:pPr>
        <w:ind w:left="540" w:hanging="345"/>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of $18.1 million, up 38%, and Non-GAAP Adjusted EPS of $0.39, up 39%</w:t>
      </w:r>
    </w:p>
    <w:p>
      <w:pPr>
        <w:spacing w:after="0" w:line="9" w:lineRule="exact"/>
        <w:rPr>
          <w:rFonts w:ascii="Times New Roman" w:cs="Times New Roman" w:eastAsia="Times New Roman" w:hAnsi="Times New Roman"/>
          <w:sz w:val="18"/>
          <w:szCs w:val="18"/>
          <w:color w:val="auto"/>
        </w:rPr>
      </w:pPr>
    </w:p>
    <w:p>
      <w:pPr>
        <w:ind w:left="560" w:hanging="358"/>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balances of $181.4 million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with zero financial debt</w:t>
      </w:r>
    </w:p>
    <w:p>
      <w:pPr>
        <w:spacing w:after="0" w:line="165" w:lineRule="exact"/>
        <w:rPr>
          <w:sz w:val="20"/>
          <w:szCs w:val="20"/>
          <w:color w:val="auto"/>
        </w:rPr>
      </w:pPr>
    </w:p>
    <w:p>
      <w:pPr>
        <w:jc w:val="both"/>
        <w:ind w:right="740"/>
        <w:spacing w:after="0" w:line="254" w:lineRule="auto"/>
        <w:rPr>
          <w:sz w:val="20"/>
          <w:szCs w:val="20"/>
          <w:color w:val="auto"/>
        </w:rPr>
      </w:pPr>
      <w:r>
        <w:rPr>
          <w:rFonts w:ascii="Times New Roman" w:cs="Times New Roman" w:eastAsia="Times New Roman" w:hAnsi="Times New Roman"/>
          <w:sz w:val="18"/>
          <w:szCs w:val="18"/>
          <w:color w:val="auto"/>
        </w:rPr>
        <w:t>“We delivered a strong start to fiscal 2026 with profitability ahead of expectations, reflecting the strong buyer and seller participation within our marketplace platform. Our Retail segment’s strong performance was driven by growing multi-channel buyer participation, while GovDeals and our CAG heavy equipment category benefited from continued momentum in market share expansion. We also continued to drive operating leverage throughout our business through the smart deployment of AI and automation to improve efficiency, strengthen decision making, and elevate our customer experience. During the quarter we also leveraged our Software Solutions segment’s auction software suite of services to support the successful launch of our Retail Rush consumer auction channel. With a healthy pipeline entering the second quarter, we remain confident in our ability to deliver year-over-year growth and create long-term value for customers and shareholders,” said Bill Angrick, CEO of Liquidity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GMV for the fiscal first quarter of 2026 was $398.0 million, a 3% increase from $386.1 million in the first fiscal quarter of 2025.</w:t>
      </w:r>
    </w:p>
    <w:p>
      <w:pPr>
        <w:spacing w:after="0" w:line="27" w:lineRule="exact"/>
        <w:rPr>
          <w:sz w:val="20"/>
          <w:szCs w:val="20"/>
          <w:color w:val="auto"/>
        </w:rPr>
      </w:pPr>
    </w:p>
    <w:p>
      <w:pPr>
        <w:ind w:left="560" w:hanging="358"/>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in our GovDeals segment increased 7%, driven by sustained organic seller acquisition and market share expansion.</w:t>
      </w:r>
    </w:p>
    <w:p>
      <w:pPr>
        <w:spacing w:after="0" w:line="9" w:lineRule="exact"/>
        <w:rPr>
          <w:rFonts w:ascii="Times New Roman" w:cs="Times New Roman" w:eastAsia="Times New Roman" w:hAnsi="Times New Roman"/>
          <w:sz w:val="18"/>
          <w:szCs w:val="18"/>
          <w:color w:val="auto"/>
        </w:rPr>
      </w:pPr>
    </w:p>
    <w:p>
      <w:pPr>
        <w:ind w:left="560" w:right="760" w:hanging="358"/>
        <w:spacing w:after="0" w:line="250"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in our RSCG segment increased 3%, reflecting continued growth in key consignment programs and a milder reduction in inventory purchases.</w:t>
      </w:r>
    </w:p>
    <w:p>
      <w:pPr>
        <w:ind w:left="560" w:right="740" w:hanging="358"/>
        <w:spacing w:after="0" w:line="250"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in our CAG segment decreased 10%, as continued strong organic growth in our heavy equipment category was offset by lower sales of industrial equipment versus the prior year period, which included larger, lower-take rate projects in our energy category.</w:t>
      </w:r>
    </w:p>
    <w:p>
      <w:pPr>
        <w:ind w:left="560" w:hanging="358"/>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Consignment sales represented 81% of consolidated GMV for the first fiscal quarter of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fiscal first quarter of 2026 was $121.2 million, a 1% decrease from $122.3 million in the first fiscal quarter of 2025.</w:t>
      </w:r>
    </w:p>
    <w:p>
      <w:pPr>
        <w:spacing w:after="0" w:line="27" w:lineRule="exact"/>
        <w:rPr>
          <w:sz w:val="20"/>
          <w:szCs w:val="20"/>
          <w:color w:val="auto"/>
        </w:rPr>
      </w:pPr>
    </w:p>
    <w:p>
      <w:pPr>
        <w:jc w:val="both"/>
        <w:ind w:left="560" w:right="760" w:hanging="358"/>
        <w:spacing w:after="0" w:line="250"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our RSCG segment decreased 6% from a milder reduction in inventory purchases, however, strong multi-channel buyer participation drove margin improvements that led to a 16% increase in segment direct profit to set another new quarterly record at $21.5 million.</w:t>
      </w:r>
    </w:p>
    <w:p>
      <w:pPr>
        <w:spacing w:after="0" w:line="1" w:lineRule="exact"/>
        <w:rPr>
          <w:rFonts w:ascii="Times New Roman" w:cs="Times New Roman" w:eastAsia="Times New Roman" w:hAnsi="Times New Roman"/>
          <w:sz w:val="18"/>
          <w:szCs w:val="18"/>
          <w:color w:val="auto"/>
        </w:rPr>
      </w:pPr>
    </w:p>
    <w:p>
      <w:pPr>
        <w:jc w:val="both"/>
        <w:ind w:left="560" w:right="760" w:hanging="358"/>
        <w:spacing w:after="0" w:line="250"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our GovDeals segment increased 9%, growing faster than GMV due to service level expansion with selected sellers driving higher commission rates across the portfolio. This increase, combined with operational efficiencies, resulted in a 13% increase in segment direct profit.</w:t>
      </w:r>
    </w:p>
    <w:p>
      <w:pPr>
        <w:spacing w:after="0" w:line="1" w:lineRule="exact"/>
        <w:rPr>
          <w:rFonts w:ascii="Times New Roman" w:cs="Times New Roman" w:eastAsia="Times New Roman" w:hAnsi="Times New Roman"/>
          <w:sz w:val="18"/>
          <w:szCs w:val="18"/>
          <w:color w:val="auto"/>
        </w:rPr>
      </w:pPr>
    </w:p>
    <w:p>
      <w:pPr>
        <w:jc w:val="both"/>
        <w:ind w:left="560" w:right="760" w:hanging="358"/>
        <w:spacing w:after="0" w:line="250"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our CAG segment increased 17%, substantially higher than the GMV change, due to increased industrial spot purchase and heavy equipment consignment transaction activity, partially offset by the prior year period including larger, lower-take rate project work in our energy category.</w:t>
      </w:r>
    </w:p>
    <w:p>
      <w:pPr>
        <w:spacing w:after="0" w:line="1" w:lineRule="exact"/>
        <w:rPr>
          <w:rFonts w:ascii="Times New Roman" w:cs="Times New Roman" w:eastAsia="Times New Roman" w:hAnsi="Times New Roman"/>
          <w:sz w:val="18"/>
          <w:szCs w:val="18"/>
          <w:color w:val="auto"/>
        </w:rPr>
      </w:pPr>
    </w:p>
    <w:p>
      <w:pPr>
        <w:ind w:left="560" w:right="740" w:hanging="358"/>
        <w:spacing w:after="0" w:line="260"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our Machinio &amp; Software Solutions segment increased 27% from increased Machinio subscriptions and pricing for its services and the acquisition of our Auction Software business, which offers online auction solutions under a SaaS model.</w:t>
      </w:r>
    </w:p>
    <w:p>
      <w:pPr>
        <w:spacing w:after="0" w:line="1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combined initiatives to expand seller market share, increase multi-channel buyer participation, and enhance operating leverage contributed to higher GMV, improved transaction margins, and more operating leverage and cost efficiencies across the business.</w:t>
      </w:r>
    </w:p>
    <w:p>
      <w:pPr>
        <w:ind w:left="560" w:right="760" w:hanging="358"/>
        <w:spacing w:after="0" w:line="250"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$7.5 million, or $0.23 per share, for the fiscal first quarter of 2026, an increase from $5.8 million, or $0.18 per share, for the same quarter last year.</w:t>
      </w:r>
    </w:p>
    <w:p>
      <w:pPr>
        <w:ind w:left="560" w:right="740" w:hanging="358"/>
        <w:spacing w:after="0" w:line="250"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Net Income for the fiscal first quarter of 2026 of $12.4 million, or $0.39 per share, an increase from $8.9 million, or $0.28 per share, for the same quarter last year.</w:t>
      </w:r>
    </w:p>
    <w:p>
      <w:pPr>
        <w:jc w:val="both"/>
        <w:ind w:left="560" w:right="760" w:hanging="358"/>
        <w:spacing w:after="0" w:line="255"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for the fiscal first quarter of 2026 of $18.1 million, a $5.0 million increase from $13.1 million in the same quarter last year, reflecting the combined impact of leveraging our proprietary technology platform to power our initiatives to expand seller market share, deepen multi-channel buyer participation, and strengthen operating leverage.</w:t>
      </w:r>
    </w:p>
    <w:p>
      <w:pPr>
        <w:spacing w:after="0" w:line="88"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$169.8 million of Cash and cash equivalents and $11.6 million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Segment Financial Results</w:t>
      </w:r>
    </w:p>
    <w:p>
      <w:pPr>
        <w:spacing w:after="0" w:line="121" w:lineRule="exact"/>
        <w:rPr>
          <w:sz w:val="20"/>
          <w:szCs w:val="20"/>
          <w:color w:val="auto"/>
        </w:rPr>
      </w:pPr>
    </w:p>
    <w:p>
      <w:pPr>
        <w:jc w:val="both"/>
        <w:ind w:right="740"/>
        <w:spacing w:after="0" w:line="258" w:lineRule="auto"/>
        <w:rPr>
          <w:sz w:val="20"/>
          <w:szCs w:val="20"/>
          <w:color w:val="auto"/>
        </w:rPr>
      </w:pPr>
      <w:r>
        <w:rPr>
          <w:rFonts w:ascii="Times New Roman" w:cs="Times New Roman" w:eastAsia="Times New Roman" w:hAnsi="Times New Roman"/>
          <w:sz w:val="18"/>
          <w:szCs w:val="18"/>
          <w:color w:val="auto"/>
        </w:rPr>
        <w:t xml:space="preserve">We present operating results for our three reportable segments: GovDeals, RSCG, and CAG. Our separate Machinio and Software Solutions operating segments, which do not individually meet the quantitative thresholds to be reportable segments, are combined and presented together as Machinio &amp; Software Solutions for segment reporting purposes. For further information on our reportable segments, see Note 14,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to our quarterly report on Form 10-Q for the period ended December 31, 2025. Segment direct profit is calculated as total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cost of goods sold (excluding depreciation and amortization).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Q1-FY26 segment results are as follows (unaudited, dollars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41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100" w:type="dxa"/>
            <w:vAlign w:val="bottom"/>
          </w:tcPr>
          <w:p>
            <w:pPr>
              <w:spacing w:after="0"/>
              <w:rPr>
                <w:sz w:val="13"/>
                <w:szCs w:val="13"/>
                <w:color w:val="auto"/>
              </w:rPr>
            </w:pPr>
          </w:p>
        </w:tc>
        <w:tc>
          <w:tcPr>
            <w:tcW w:w="146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83"/>
        </w:trPr>
        <w:tc>
          <w:tcPr>
            <w:tcW w:w="61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GovDeals:</w:t>
            </w:r>
          </w:p>
        </w:tc>
        <w:tc>
          <w:tcPr>
            <w:tcW w:w="1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89"/>
        </w:trPr>
        <w:tc>
          <w:tcPr>
            <w:tcW w:w="6100" w:type="dxa"/>
            <w:vAlign w:val="bottom"/>
          </w:tcPr>
          <w:p>
            <w:pPr>
              <w:ind w:left="120"/>
              <w:spacing w:after="0"/>
              <w:rPr>
                <w:sz w:val="20"/>
                <w:szCs w:val="20"/>
                <w:color w:val="auto"/>
              </w:rPr>
            </w:pPr>
            <w:r>
              <w:rPr>
                <w:rFonts w:ascii="Arial" w:cs="Arial" w:eastAsia="Arial" w:hAnsi="Arial"/>
                <w:sz w:val="16"/>
                <w:szCs w:val="16"/>
                <w:color w:val="auto"/>
              </w:rPr>
              <w:t>GMV</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226,915</w:t>
            </w:r>
          </w:p>
        </w:tc>
        <w:tc>
          <w:tcPr>
            <w:tcW w:w="460" w:type="dxa"/>
            <w:vAlign w:val="bottom"/>
          </w:tcPr>
          <w:p>
            <w:pPr>
              <w:spacing w:after="0"/>
              <w:rPr>
                <w:sz w:val="16"/>
                <w:szCs w:val="16"/>
                <w:color w:val="auto"/>
              </w:rPr>
            </w:pP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212,141</w:t>
            </w:r>
          </w:p>
        </w:tc>
        <w:tc>
          <w:tcPr>
            <w:tcW w:w="200" w:type="dxa"/>
            <w:vAlign w:val="bottom"/>
          </w:tcPr>
          <w:p>
            <w:pPr>
              <w:spacing w:after="0"/>
              <w:rPr>
                <w:sz w:val="16"/>
                <w:szCs w:val="16"/>
                <w:color w:val="auto"/>
              </w:rPr>
            </w:pPr>
          </w:p>
        </w:tc>
      </w:tr>
      <w:tr>
        <w:trPr>
          <w:trHeight w:val="189"/>
        </w:trPr>
        <w:tc>
          <w:tcPr>
            <w:tcW w:w="6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22,267</w:t>
            </w:r>
          </w:p>
        </w:tc>
        <w:tc>
          <w:tcPr>
            <w:tcW w:w="4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20,522</w:t>
            </w:r>
          </w:p>
        </w:tc>
        <w:tc>
          <w:tcPr>
            <w:tcW w:w="200" w:type="dxa"/>
            <w:vAlign w:val="bottom"/>
            <w:shd w:val="clear" w:color="auto" w:fill="CFF0FC"/>
          </w:tcPr>
          <w:p>
            <w:pPr>
              <w:spacing w:after="0"/>
              <w:rPr>
                <w:sz w:val="16"/>
                <w:szCs w:val="16"/>
                <w:color w:val="auto"/>
              </w:rPr>
            </w:pPr>
          </w:p>
        </w:tc>
      </w:tr>
      <w:tr>
        <w:trPr>
          <w:trHeight w:val="189"/>
        </w:trPr>
        <w:tc>
          <w:tcPr>
            <w:tcW w:w="6100" w:type="dxa"/>
            <w:vAlign w:val="bottom"/>
          </w:tcPr>
          <w:p>
            <w:pPr>
              <w:ind w:left="120"/>
              <w:spacing w:after="0"/>
              <w:rPr>
                <w:sz w:val="20"/>
                <w:szCs w:val="20"/>
                <w:color w:val="auto"/>
              </w:rPr>
            </w:pPr>
            <w:r>
              <w:rPr>
                <w:rFonts w:ascii="Arial" w:cs="Arial" w:eastAsia="Arial" w:hAnsi="Arial"/>
                <w:sz w:val="16"/>
                <w:szCs w:val="16"/>
                <w:color w:val="auto"/>
              </w:rPr>
              <w:t>Segment direct profit</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21,177</w:t>
            </w:r>
          </w:p>
        </w:tc>
        <w:tc>
          <w:tcPr>
            <w:tcW w:w="460" w:type="dxa"/>
            <w:vAlign w:val="bottom"/>
          </w:tcPr>
          <w:p>
            <w:pPr>
              <w:spacing w:after="0"/>
              <w:rPr>
                <w:sz w:val="16"/>
                <w:szCs w:val="16"/>
                <w:color w:val="auto"/>
              </w:rPr>
            </w:pP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18,816</w:t>
            </w:r>
          </w:p>
        </w:tc>
        <w:tc>
          <w:tcPr>
            <w:tcW w:w="200" w:type="dxa"/>
            <w:vAlign w:val="bottom"/>
          </w:tcPr>
          <w:p>
            <w:pPr>
              <w:spacing w:after="0"/>
              <w:rPr>
                <w:sz w:val="16"/>
                <w:szCs w:val="16"/>
                <w:color w:val="auto"/>
              </w:rPr>
            </w:pPr>
          </w:p>
        </w:tc>
      </w:tr>
      <w:tr>
        <w:trPr>
          <w:trHeight w:val="189"/>
        </w:trPr>
        <w:tc>
          <w:tcPr>
            <w:tcW w:w="61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 of Total revenue</w:t>
            </w:r>
          </w:p>
        </w:tc>
        <w:tc>
          <w:tcPr>
            <w:tcW w:w="14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95 %</w:t>
            </w:r>
          </w:p>
        </w:tc>
        <w:tc>
          <w:tcPr>
            <w:tcW w:w="14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92 %</w:t>
            </w:r>
          </w:p>
        </w:tc>
      </w:tr>
      <w:tr>
        <w:trPr>
          <w:trHeight w:val="378"/>
        </w:trPr>
        <w:tc>
          <w:tcPr>
            <w:tcW w:w="6100" w:type="dxa"/>
            <w:vAlign w:val="bottom"/>
          </w:tcPr>
          <w:p>
            <w:pPr>
              <w:spacing w:after="0"/>
              <w:rPr>
                <w:sz w:val="20"/>
                <w:szCs w:val="20"/>
                <w:color w:val="auto"/>
              </w:rPr>
            </w:pPr>
            <w:r>
              <w:rPr>
                <w:rFonts w:ascii="Arial" w:cs="Arial" w:eastAsia="Arial" w:hAnsi="Arial"/>
                <w:sz w:val="16"/>
                <w:szCs w:val="16"/>
                <w:b w:val="1"/>
                <w:bCs w:val="1"/>
                <w:color w:val="auto"/>
              </w:rPr>
              <w:t>RSCG:</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9"/>
        </w:trPr>
        <w:tc>
          <w:tcPr>
            <w:tcW w:w="6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GMV</w:t>
            </w: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113,491</w:t>
            </w:r>
          </w:p>
        </w:tc>
        <w:tc>
          <w:tcPr>
            <w:tcW w:w="4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109,771</w:t>
            </w:r>
          </w:p>
        </w:tc>
        <w:tc>
          <w:tcPr>
            <w:tcW w:w="200" w:type="dxa"/>
            <w:vAlign w:val="bottom"/>
            <w:shd w:val="clear" w:color="auto" w:fill="CFF0FC"/>
          </w:tcPr>
          <w:p>
            <w:pPr>
              <w:spacing w:after="0"/>
              <w:rPr>
                <w:sz w:val="16"/>
                <w:szCs w:val="16"/>
                <w:color w:val="auto"/>
              </w:rPr>
            </w:pPr>
          </w:p>
        </w:tc>
      </w:tr>
      <w:tr>
        <w:trPr>
          <w:trHeight w:val="189"/>
        </w:trPr>
        <w:tc>
          <w:tcPr>
            <w:tcW w:w="610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81,995</w:t>
            </w:r>
          </w:p>
        </w:tc>
        <w:tc>
          <w:tcPr>
            <w:tcW w:w="460" w:type="dxa"/>
            <w:vAlign w:val="bottom"/>
          </w:tcPr>
          <w:p>
            <w:pPr>
              <w:spacing w:after="0"/>
              <w:rPr>
                <w:sz w:val="16"/>
                <w:szCs w:val="16"/>
                <w:color w:val="auto"/>
              </w:rPr>
            </w:pP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87,681</w:t>
            </w:r>
          </w:p>
        </w:tc>
        <w:tc>
          <w:tcPr>
            <w:tcW w:w="200" w:type="dxa"/>
            <w:vAlign w:val="bottom"/>
          </w:tcPr>
          <w:p>
            <w:pPr>
              <w:spacing w:after="0"/>
              <w:rPr>
                <w:sz w:val="16"/>
                <w:szCs w:val="16"/>
                <w:color w:val="auto"/>
              </w:rPr>
            </w:pPr>
          </w:p>
        </w:tc>
      </w:tr>
      <w:tr>
        <w:trPr>
          <w:trHeight w:val="189"/>
        </w:trPr>
        <w:tc>
          <w:tcPr>
            <w:tcW w:w="6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Segment direct profit</w:t>
            </w: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21,461</w:t>
            </w:r>
          </w:p>
        </w:tc>
        <w:tc>
          <w:tcPr>
            <w:tcW w:w="4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18,495</w:t>
            </w:r>
          </w:p>
        </w:tc>
        <w:tc>
          <w:tcPr>
            <w:tcW w:w="200" w:type="dxa"/>
            <w:vAlign w:val="bottom"/>
            <w:shd w:val="clear" w:color="auto" w:fill="CFF0FC"/>
          </w:tcPr>
          <w:p>
            <w:pPr>
              <w:spacing w:after="0"/>
              <w:rPr>
                <w:sz w:val="16"/>
                <w:szCs w:val="16"/>
                <w:color w:val="auto"/>
              </w:rPr>
            </w:pPr>
          </w:p>
        </w:tc>
      </w:tr>
      <w:tr>
        <w:trPr>
          <w:trHeight w:val="215"/>
        </w:trPr>
        <w:tc>
          <w:tcPr>
            <w:tcW w:w="6100" w:type="dxa"/>
            <w:vAlign w:val="bottom"/>
          </w:tcPr>
          <w:p>
            <w:pPr>
              <w:ind w:left="180"/>
              <w:spacing w:after="0"/>
              <w:rPr>
                <w:sz w:val="20"/>
                <w:szCs w:val="20"/>
                <w:color w:val="auto"/>
              </w:rPr>
            </w:pPr>
            <w:r>
              <w:rPr>
                <w:rFonts w:ascii="Arial" w:cs="Arial" w:eastAsia="Arial" w:hAnsi="Arial"/>
                <w:sz w:val="16"/>
                <w:szCs w:val="16"/>
                <w:color w:val="auto"/>
              </w:rPr>
              <w:t>% of Total revenue</w:t>
            </w:r>
          </w:p>
        </w:tc>
        <w:tc>
          <w:tcPr>
            <w:tcW w:w="14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26%</w:t>
            </w:r>
          </w:p>
        </w:tc>
        <w:tc>
          <w:tcPr>
            <w:tcW w:w="14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r>
      <w:tr>
        <w:trPr>
          <w:trHeight w:val="163"/>
        </w:trPr>
        <w:tc>
          <w:tcPr>
            <w:tcW w:w="6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CAG:</w:t>
            </w:r>
          </w:p>
        </w:tc>
        <w:tc>
          <w:tcPr>
            <w:tcW w:w="1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r>
      <w:tr>
        <w:trPr>
          <w:trHeight w:val="189"/>
        </w:trPr>
        <w:tc>
          <w:tcPr>
            <w:tcW w:w="6100" w:type="dxa"/>
            <w:vAlign w:val="bottom"/>
          </w:tcPr>
          <w:p>
            <w:pPr>
              <w:ind w:left="120"/>
              <w:spacing w:after="0"/>
              <w:rPr>
                <w:sz w:val="20"/>
                <w:szCs w:val="20"/>
                <w:color w:val="auto"/>
              </w:rPr>
            </w:pPr>
            <w:r>
              <w:rPr>
                <w:rFonts w:ascii="Arial" w:cs="Arial" w:eastAsia="Arial" w:hAnsi="Arial"/>
                <w:sz w:val="16"/>
                <w:szCs w:val="16"/>
                <w:color w:val="auto"/>
              </w:rPr>
              <w:t>GMV</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57,553</w:t>
            </w:r>
          </w:p>
        </w:tc>
        <w:tc>
          <w:tcPr>
            <w:tcW w:w="460" w:type="dxa"/>
            <w:vAlign w:val="bottom"/>
          </w:tcPr>
          <w:p>
            <w:pPr>
              <w:spacing w:after="0"/>
              <w:rPr>
                <w:sz w:val="16"/>
                <w:szCs w:val="16"/>
                <w:color w:val="auto"/>
              </w:rPr>
            </w:pP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64,168</w:t>
            </w:r>
          </w:p>
        </w:tc>
        <w:tc>
          <w:tcPr>
            <w:tcW w:w="200" w:type="dxa"/>
            <w:vAlign w:val="bottom"/>
          </w:tcPr>
          <w:p>
            <w:pPr>
              <w:spacing w:after="0"/>
              <w:rPr>
                <w:sz w:val="16"/>
                <w:szCs w:val="16"/>
                <w:color w:val="auto"/>
              </w:rPr>
            </w:pPr>
          </w:p>
        </w:tc>
      </w:tr>
      <w:tr>
        <w:trPr>
          <w:trHeight w:val="189"/>
        </w:trPr>
        <w:tc>
          <w:tcPr>
            <w:tcW w:w="6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11,483</w:t>
            </w:r>
          </w:p>
        </w:tc>
        <w:tc>
          <w:tcPr>
            <w:tcW w:w="4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9,851</w:t>
            </w:r>
          </w:p>
        </w:tc>
        <w:tc>
          <w:tcPr>
            <w:tcW w:w="200" w:type="dxa"/>
            <w:vAlign w:val="bottom"/>
            <w:shd w:val="clear" w:color="auto" w:fill="CFF0FC"/>
          </w:tcPr>
          <w:p>
            <w:pPr>
              <w:spacing w:after="0"/>
              <w:rPr>
                <w:sz w:val="16"/>
                <w:szCs w:val="16"/>
                <w:color w:val="auto"/>
              </w:rPr>
            </w:pPr>
          </w:p>
        </w:tc>
      </w:tr>
      <w:tr>
        <w:trPr>
          <w:trHeight w:val="189"/>
        </w:trPr>
        <w:tc>
          <w:tcPr>
            <w:tcW w:w="6100" w:type="dxa"/>
            <w:vAlign w:val="bottom"/>
          </w:tcPr>
          <w:p>
            <w:pPr>
              <w:ind w:left="120"/>
              <w:spacing w:after="0"/>
              <w:rPr>
                <w:sz w:val="20"/>
                <w:szCs w:val="20"/>
                <w:color w:val="auto"/>
              </w:rPr>
            </w:pPr>
            <w:r>
              <w:rPr>
                <w:rFonts w:ascii="Arial" w:cs="Arial" w:eastAsia="Arial" w:hAnsi="Arial"/>
                <w:sz w:val="16"/>
                <w:szCs w:val="16"/>
                <w:color w:val="auto"/>
              </w:rPr>
              <w:t>Segment direct profit</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9,378</w:t>
            </w:r>
          </w:p>
        </w:tc>
        <w:tc>
          <w:tcPr>
            <w:tcW w:w="460" w:type="dxa"/>
            <w:vAlign w:val="bottom"/>
          </w:tcPr>
          <w:p>
            <w:pPr>
              <w:spacing w:after="0"/>
              <w:rPr>
                <w:sz w:val="16"/>
                <w:szCs w:val="16"/>
                <w:color w:val="auto"/>
              </w:rPr>
            </w:pP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8,796</w:t>
            </w:r>
          </w:p>
        </w:tc>
        <w:tc>
          <w:tcPr>
            <w:tcW w:w="200" w:type="dxa"/>
            <w:vAlign w:val="bottom"/>
          </w:tcPr>
          <w:p>
            <w:pPr>
              <w:spacing w:after="0"/>
              <w:rPr>
                <w:sz w:val="16"/>
                <w:szCs w:val="16"/>
                <w:color w:val="auto"/>
              </w:rPr>
            </w:pPr>
          </w:p>
        </w:tc>
      </w:tr>
      <w:tr>
        <w:trPr>
          <w:trHeight w:val="189"/>
        </w:trPr>
        <w:tc>
          <w:tcPr>
            <w:tcW w:w="61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 of Total revenue</w:t>
            </w:r>
          </w:p>
        </w:tc>
        <w:tc>
          <w:tcPr>
            <w:tcW w:w="14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82%</w:t>
            </w:r>
          </w:p>
        </w:tc>
        <w:tc>
          <w:tcPr>
            <w:tcW w:w="14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w:t>
            </w:r>
          </w:p>
        </w:tc>
      </w:tr>
      <w:tr>
        <w:trPr>
          <w:trHeight w:val="378"/>
        </w:trPr>
        <w:tc>
          <w:tcPr>
            <w:tcW w:w="6100" w:type="dxa"/>
            <w:vAlign w:val="bottom"/>
          </w:tcPr>
          <w:p>
            <w:pPr>
              <w:spacing w:after="0"/>
              <w:rPr>
                <w:sz w:val="20"/>
                <w:szCs w:val="20"/>
                <w:color w:val="auto"/>
              </w:rPr>
            </w:pPr>
            <w:r>
              <w:rPr>
                <w:rFonts w:ascii="Arial" w:cs="Arial" w:eastAsia="Arial" w:hAnsi="Arial"/>
                <w:sz w:val="16"/>
                <w:szCs w:val="16"/>
                <w:b w:val="1"/>
                <w:bCs w:val="1"/>
                <w:color w:val="auto"/>
              </w:rPr>
              <w:t>Machinio &amp; Software Solutions:</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9"/>
        </w:trPr>
        <w:tc>
          <w:tcPr>
            <w:tcW w:w="6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revenue</w:t>
            </w: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5,474</w:t>
            </w:r>
          </w:p>
        </w:tc>
        <w:tc>
          <w:tcPr>
            <w:tcW w:w="4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4,294</w:t>
            </w:r>
          </w:p>
        </w:tc>
        <w:tc>
          <w:tcPr>
            <w:tcW w:w="200" w:type="dxa"/>
            <w:vAlign w:val="bottom"/>
            <w:shd w:val="clear" w:color="auto" w:fill="CFF0FC"/>
          </w:tcPr>
          <w:p>
            <w:pPr>
              <w:spacing w:after="0"/>
              <w:rPr>
                <w:sz w:val="16"/>
                <w:szCs w:val="16"/>
                <w:color w:val="auto"/>
              </w:rPr>
            </w:pPr>
          </w:p>
        </w:tc>
      </w:tr>
      <w:tr>
        <w:trPr>
          <w:trHeight w:val="189"/>
        </w:trPr>
        <w:tc>
          <w:tcPr>
            <w:tcW w:w="6100" w:type="dxa"/>
            <w:vAlign w:val="bottom"/>
          </w:tcPr>
          <w:p>
            <w:pPr>
              <w:ind w:left="120"/>
              <w:spacing w:after="0"/>
              <w:rPr>
                <w:sz w:val="20"/>
                <w:szCs w:val="20"/>
                <w:color w:val="auto"/>
              </w:rPr>
            </w:pPr>
            <w:r>
              <w:rPr>
                <w:rFonts w:ascii="Arial" w:cs="Arial" w:eastAsia="Arial" w:hAnsi="Arial"/>
                <w:sz w:val="16"/>
                <w:szCs w:val="16"/>
                <w:color w:val="auto"/>
              </w:rPr>
              <w:t>Segment direct profit</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5,017</w:t>
            </w:r>
          </w:p>
        </w:tc>
        <w:tc>
          <w:tcPr>
            <w:tcW w:w="460" w:type="dxa"/>
            <w:vAlign w:val="bottom"/>
          </w:tcPr>
          <w:p>
            <w:pPr>
              <w:spacing w:after="0"/>
              <w:rPr>
                <w:sz w:val="16"/>
                <w:szCs w:val="16"/>
                <w:color w:val="auto"/>
              </w:rPr>
            </w:pP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4,077</w:t>
            </w:r>
          </w:p>
        </w:tc>
        <w:tc>
          <w:tcPr>
            <w:tcW w:w="200" w:type="dxa"/>
            <w:vAlign w:val="bottom"/>
          </w:tcPr>
          <w:p>
            <w:pPr>
              <w:spacing w:after="0"/>
              <w:rPr>
                <w:sz w:val="16"/>
                <w:szCs w:val="16"/>
                <w:color w:val="auto"/>
              </w:rPr>
            </w:pPr>
          </w:p>
        </w:tc>
      </w:tr>
      <w:tr>
        <w:trPr>
          <w:trHeight w:val="189"/>
        </w:trPr>
        <w:tc>
          <w:tcPr>
            <w:tcW w:w="61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 of Total revenue</w:t>
            </w:r>
          </w:p>
        </w:tc>
        <w:tc>
          <w:tcPr>
            <w:tcW w:w="14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92%</w:t>
            </w:r>
          </w:p>
        </w:tc>
        <w:tc>
          <w:tcPr>
            <w:tcW w:w="14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w:t>
            </w:r>
          </w:p>
        </w:tc>
      </w:tr>
      <w:tr>
        <w:trPr>
          <w:trHeight w:val="378"/>
        </w:trPr>
        <w:tc>
          <w:tcPr>
            <w:tcW w:w="6100" w:type="dxa"/>
            <w:vAlign w:val="bottom"/>
          </w:tcPr>
          <w:p>
            <w:pPr>
              <w:spacing w:after="0"/>
              <w:rPr>
                <w:sz w:val="20"/>
                <w:szCs w:val="20"/>
                <w:color w:val="auto"/>
              </w:rPr>
            </w:pPr>
            <w:r>
              <w:rPr>
                <w:rFonts w:ascii="Arial" w:cs="Arial" w:eastAsia="Arial" w:hAnsi="Arial"/>
                <w:sz w:val="16"/>
                <w:szCs w:val="16"/>
                <w:b w:val="1"/>
                <w:bCs w:val="1"/>
                <w:color w:val="auto"/>
              </w:rPr>
              <w:t>Consolidated:</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9"/>
        </w:trPr>
        <w:tc>
          <w:tcPr>
            <w:tcW w:w="6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GMV</w:t>
            </w: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397,959</w:t>
            </w:r>
          </w:p>
        </w:tc>
        <w:tc>
          <w:tcPr>
            <w:tcW w:w="4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386,080</w:t>
            </w:r>
          </w:p>
        </w:tc>
        <w:tc>
          <w:tcPr>
            <w:tcW w:w="200" w:type="dxa"/>
            <w:vAlign w:val="bottom"/>
            <w:shd w:val="clear" w:color="auto" w:fill="CFF0FC"/>
          </w:tcPr>
          <w:p>
            <w:pPr>
              <w:spacing w:after="0"/>
              <w:rPr>
                <w:sz w:val="16"/>
                <w:szCs w:val="16"/>
                <w:color w:val="auto"/>
              </w:rPr>
            </w:pPr>
          </w:p>
        </w:tc>
      </w:tr>
      <w:tr>
        <w:trPr>
          <w:trHeight w:val="215"/>
        </w:trPr>
        <w:tc>
          <w:tcPr>
            <w:tcW w:w="6100" w:type="dxa"/>
            <w:vAlign w:val="bottom"/>
          </w:tcPr>
          <w:p>
            <w:pPr>
              <w:ind w:left="120"/>
              <w:spacing w:after="0"/>
              <w:rPr>
                <w:sz w:val="20"/>
                <w:szCs w:val="20"/>
                <w:color w:val="auto"/>
              </w:rPr>
            </w:pPr>
            <w:r>
              <w:rPr>
                <w:rFonts w:ascii="Arial" w:cs="Arial" w:eastAsia="Arial" w:hAnsi="Arial"/>
                <w:sz w:val="16"/>
                <w:szCs w:val="16"/>
                <w:color w:val="auto"/>
              </w:rPr>
              <w:t>Total revenue</w:t>
            </w: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121,219</w:t>
            </w:r>
          </w:p>
        </w:tc>
        <w:tc>
          <w:tcPr>
            <w:tcW w:w="460" w:type="dxa"/>
            <w:vAlign w:val="bottom"/>
          </w:tcPr>
          <w:p>
            <w:pPr>
              <w:spacing w:after="0"/>
              <w:rPr>
                <w:sz w:val="18"/>
                <w:szCs w:val="18"/>
                <w:color w:val="auto"/>
              </w:rPr>
            </w:pPr>
          </w:p>
        </w:tc>
        <w:tc>
          <w:tcPr>
            <w:tcW w:w="1460" w:type="dxa"/>
            <w:vAlign w:val="bottom"/>
          </w:tcPr>
          <w:p>
            <w:pPr>
              <w:jc w:val="right"/>
              <w:ind w:right="12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122,331</w:t>
            </w:r>
          </w:p>
        </w:tc>
        <w:tc>
          <w:tcPr>
            <w:tcW w:w="200" w:type="dxa"/>
            <w:vAlign w:val="bottom"/>
          </w:tcPr>
          <w:p>
            <w:pPr>
              <w:spacing w:after="0"/>
              <w:rPr>
                <w:sz w:val="18"/>
                <w:szCs w:val="18"/>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Operational Metrics</w:t>
      </w:r>
    </w:p>
    <w:p>
      <w:pPr>
        <w:spacing w:after="0" w:line="121" w:lineRule="exact"/>
        <w:rPr>
          <w:sz w:val="20"/>
          <w:szCs w:val="20"/>
          <w:color w:val="auto"/>
        </w:rPr>
      </w:pPr>
    </w:p>
    <w:p>
      <w:pPr>
        <w:jc w:val="both"/>
        <w:ind w:left="560" w:hanging="358"/>
        <w:spacing w:after="0" w:line="266" w:lineRule="auto"/>
        <w:tabs>
          <w:tab w:leader="none" w:pos="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Registered Buyers</w:t>
      </w:r>
      <w:r>
        <w:rPr>
          <w:rFonts w:ascii="Times New Roman" w:cs="Times New Roman" w:eastAsia="Times New Roman" w:hAnsi="Times New Roman"/>
          <w:sz w:val="18"/>
          <w:szCs w:val="18"/>
          <w:color w:val="auto"/>
        </w:rPr>
        <w:t xml:space="preserve"> — At the end of Q1-FY26, registered buyers, defined as the aggregate number of persons or entities who have registered on one of our marketplaces, totaled approximately 6.2 million, representing a 9% increase over the approximately 5.7 million registered buyers at the end of Q1-FY25.</w:t>
      </w:r>
    </w:p>
    <w:p>
      <w:pPr>
        <w:spacing w:after="0" w:line="67" w:lineRule="exact"/>
        <w:rPr>
          <w:rFonts w:ascii="Times New Roman" w:cs="Times New Roman" w:eastAsia="Times New Roman" w:hAnsi="Times New Roman"/>
          <w:sz w:val="18"/>
          <w:szCs w:val="18"/>
          <w:b w:val="1"/>
          <w:bCs w:val="1"/>
          <w:color w:val="auto"/>
        </w:rPr>
      </w:pPr>
    </w:p>
    <w:p>
      <w:pPr>
        <w:jc w:val="both"/>
        <w:ind w:left="560" w:hanging="358"/>
        <w:spacing w:after="0" w:line="266" w:lineRule="auto"/>
        <w:tabs>
          <w:tab w:leader="none" w:pos="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Auction Participants</w:t>
      </w:r>
      <w:r>
        <w:rPr>
          <w:rFonts w:ascii="Times New Roman" w:cs="Times New Roman" w:eastAsia="Times New Roman" w:hAnsi="Times New Roman"/>
          <w:sz w:val="18"/>
          <w:szCs w:val="18"/>
          <w:color w:val="auto"/>
        </w:rPr>
        <w:t xml:space="preserve"> — Auction participants, defined as registered buyers who have bid in an auction during the period (a registered buyer who bids in more than one auction is counted as an auction participant in each auction in which he or she bids), was approximately 983,000 in Q1-FY26, a 2% increase from the approximately 960,000 auction participants in Q1-FY25.</w:t>
      </w:r>
    </w:p>
    <w:p>
      <w:pPr>
        <w:spacing w:after="0" w:line="67" w:lineRule="exact"/>
        <w:rPr>
          <w:rFonts w:ascii="Times New Roman" w:cs="Times New Roman" w:eastAsia="Times New Roman" w:hAnsi="Times New Roman"/>
          <w:sz w:val="18"/>
          <w:szCs w:val="18"/>
          <w:b w:val="1"/>
          <w:bCs w:val="1"/>
          <w:color w:val="auto"/>
        </w:rPr>
      </w:pPr>
    </w:p>
    <w:p>
      <w:pPr>
        <w:ind w:left="560" w:hanging="358"/>
        <w:spacing w:after="0" w:line="282" w:lineRule="auto"/>
        <w:tabs>
          <w:tab w:leader="none" w:pos="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Completed Transactions</w:t>
      </w:r>
      <w:r>
        <w:rPr>
          <w:rFonts w:ascii="Times New Roman" w:cs="Times New Roman" w:eastAsia="Times New Roman" w:hAnsi="Times New Roman"/>
          <w:sz w:val="18"/>
          <w:szCs w:val="18"/>
          <w:color w:val="auto"/>
        </w:rPr>
        <w:t xml:space="preserve"> — Completed transactions, defined as the number of auctions in a given period, were approximately 264,000 in Q1-FY26, a 4% increase from the approximately 253,000 completed transactions in Q1-FY25.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076"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Second Quarter Business Outlook</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fiscal second quarter of 2026 guidance range reflects ongoing strong performance that includes double-digit growth in Non-GAAP Adjusted EBITDA compared to the same quarter last year. Relative to the fiscal second quarter of 2025, we anticipate a beneficial mix of product flows, slightly higher proportion of consignment GMV, solid buyer demand and margins, and strong fall-through to Non-GAAP Adjusted EBITDA.</w:t>
      </w:r>
    </w:p>
    <w:p>
      <w:pPr>
        <w:spacing w:after="0" w:line="13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Within our Retail segment, continued consignment expansion and broader buyer demand are expected to support year-over-year growth in GMV and segment direct profit, with the mix of lower-touch product flows contributing to improved margins and overall profitability. Our GovDeals segment is expected to extend its growth trajectory through ongoing expansion of its seller base and its marketplace services. Within our Capital Assets Group, we anticipate continued strength in heavy equipment asset sales, while the comparable prior year period for industrial assets included several large sales events that are not expected in our current outlook to repeat. Our Machinio and Software Solutions businesses are expected to continue growth through adoption of their systems-based offerings.</w:t>
      </w:r>
    </w:p>
    <w:p>
      <w:pPr>
        <w:spacing w:after="0" w:line="14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expect our overall sales mix for the fiscal second quarter of 2026 to remain generally consistent and produce a similar overall segment direct profit margin as the fiscal first quarter of 2026. This guidance includes an anticipated product mix change within our Retail segment purchase transactions that is expected to lead to a slight sequential reduction to Retail segment direct profit margins, while still showing substantial improvement year-over-year. Revenue as a percentage of GMV and segment direct profits as a percentage of consolidated revenues are expected to remain within ranges consistent with the fiscal first quarter of 2026, though these ratios may vary based on asset categories, pricing models, and other mix factors in any given period.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Sequentially, we expect the operating expenses in our guidance to reflect seasonal patterns and cost factors specific to our second fiscal quarter. These include increased expenses associated with handling Retail's seasonal increase in inbound returns volumes, incremental one-time operational streamlining activities at a Retail warehouse location, and the timing of certain annual operating expense increases that typically occur early in our fiscal year. We continue to invest in sales and marketing and in our technology and operating capabilities to support long-term improvements in our key profit metrics, though these investments may influence the near-term quarterly cadence of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Q2-FY26 guidance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Q2-FY26 Guidance</w:t>
            </w:r>
          </w:p>
        </w:tc>
      </w:tr>
      <w:tr>
        <w:trPr>
          <w:trHeight w:val="187"/>
        </w:trPr>
        <w:tc>
          <w:tcPr>
            <w:tcW w:w="33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GMV</w:t>
            </w:r>
          </w:p>
        </w:tc>
        <w:tc>
          <w:tcPr>
            <w:tcW w:w="2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$375 to $415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 to $9.5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 to $17.0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EPS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 to $0.29</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Diluted EPS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$0.29 to $0.38</w:t>
            </w: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Outlook includes forward-looking statements which reflect the following trends and assumptions for Q2-FY26 as compared to the prior year's period, as well as the other risks and uncertainties set forth in the Company’s Annual Report on Form 10-K for the year ended September 30, 2025, and our subsequent quarterly reports on Form 10-Q:</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Impacts to GMV, Revenue, Segment Direct Profits, and ratios calculated using these metrics</w:t>
      </w:r>
    </w:p>
    <w:p>
      <w:pPr>
        <w:spacing w:after="0" w:line="119" w:lineRule="exact"/>
        <w:rPr>
          <w:sz w:val="20"/>
          <w:szCs w:val="20"/>
          <w:color w:val="auto"/>
        </w:rPr>
      </w:pPr>
    </w:p>
    <w:p>
      <w:pPr>
        <w:jc w:val="both"/>
        <w:ind w:left="560" w:hanging="358"/>
        <w:spacing w:after="0" w:line="266"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purchase and consignment transactions. Generally, when the mix of purchase transactions increases, revenue as a percent of GMV increases, while segment direct profit as a percentage of revenue decreases. When the mix of consignment transactions increases, revenue as a percent of GMV decreases, while segment direct profit as a percentage of revenue increases;</w:t>
      </w:r>
    </w:p>
    <w:p>
      <w:pPr>
        <w:spacing w:after="0" w:line="67" w:lineRule="exact"/>
        <w:rPr>
          <w:rFonts w:ascii="Times New Roman" w:cs="Times New Roman" w:eastAsia="Times New Roman" w:hAnsi="Times New Roman"/>
          <w:sz w:val="18"/>
          <w:szCs w:val="18"/>
          <w:color w:val="auto"/>
        </w:rPr>
      </w:pPr>
    </w:p>
    <w:p>
      <w:pPr>
        <w:ind w:left="560" w:hanging="358"/>
        <w:spacing w:after="0" w:line="282"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inventory product mix handled by our RSCG segment, which can cause a change in revenues and/or segment direct profit as a percentage of revenue;</w:t>
      </w:r>
    </w:p>
    <w:p>
      <w:pPr>
        <w:spacing w:after="0" w:line="53" w:lineRule="exact"/>
        <w:rPr>
          <w:rFonts w:ascii="Times New Roman" w:cs="Times New Roman" w:eastAsia="Times New Roman" w:hAnsi="Times New Roman"/>
          <w:sz w:val="18"/>
          <w:szCs w:val="18"/>
          <w:color w:val="auto"/>
        </w:rPr>
      </w:pPr>
    </w:p>
    <w:p>
      <w:pPr>
        <w:ind w:left="560" w:right="20" w:hanging="358"/>
        <w:spacing w:after="0" w:line="282"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transactions in our GovDeals segment can be subject to significant variability due to changes that include postponements or cancellations of scheduled or expected auction events and the value of properties to be included in the auction event;</w:t>
      </w:r>
    </w:p>
    <w:p>
      <w:pPr>
        <w:spacing w:after="0" w:line="53" w:lineRule="exact"/>
        <w:rPr>
          <w:rFonts w:ascii="Times New Roman" w:cs="Times New Roman" w:eastAsia="Times New Roman" w:hAnsi="Times New Roman"/>
          <w:sz w:val="18"/>
          <w:szCs w:val="18"/>
          <w:color w:val="auto"/>
        </w:rPr>
      </w:pPr>
    </w:p>
    <w:p>
      <w:pPr>
        <w:ind w:left="560" w:hanging="35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variability in project size and timing within our CAG segment;</w:t>
      </w:r>
    </w:p>
    <w:p>
      <w:pPr>
        <w:spacing w:after="0" w:line="117" w:lineRule="exact"/>
        <w:rPr>
          <w:rFonts w:ascii="Times New Roman" w:cs="Times New Roman" w:eastAsia="Times New Roman" w:hAnsi="Times New Roman"/>
          <w:sz w:val="18"/>
          <w:szCs w:val="18"/>
          <w:color w:val="auto"/>
        </w:rPr>
      </w:pPr>
    </w:p>
    <w:p>
      <w:pPr>
        <w:jc w:val="both"/>
        <w:ind w:left="560" w:right="20" w:hanging="358"/>
        <w:spacing w:after="0" w:line="257"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and expansion resulting from the continuing acceleration of broader market adoption of the digital economy, particularly in our GovDeals and RSCG seller accounts and programs, including the execution by RSCG on its business plans for expanded direct-to-consumer sales;</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43" w:right="1079" w:bottom="1440" w:gutter="0" w:footer="0" w:header="0"/>
        </w:sectPr>
      </w:pPr>
    </w:p>
    <w:bookmarkStart w:id="7" w:name="page8"/>
    <w:bookmarkEnd w:id="7"/>
    <w:p>
      <w:pPr>
        <w:ind w:left="560" w:hanging="358"/>
        <w:spacing w:after="0" w:line="282" w:lineRule="auto"/>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or international trading conditions could cause variability in our operating results by impacting the priorities or financial stability of our sellers, current or prospective buyers or their end-customers;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Impacts to Operating Expenses</w:t>
      </w:r>
    </w:p>
    <w:p>
      <w:pPr>
        <w:spacing w:after="0" w:line="119" w:lineRule="exact"/>
        <w:rPr>
          <w:sz w:val="20"/>
          <w:szCs w:val="20"/>
          <w:color w:val="auto"/>
        </w:rPr>
      </w:pPr>
    </w:p>
    <w:p>
      <w:pPr>
        <w:ind w:left="560" w:hanging="358"/>
        <w:spacing w:after="0" w:line="282"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R&amp;D spending to support delivering software solutions and enhancing our omni-channel behavioral marketing, analytics, and buyer/seller payment optimization;</w:t>
      </w:r>
    </w:p>
    <w:p>
      <w:pPr>
        <w:spacing w:after="0" w:line="53" w:lineRule="exact"/>
        <w:rPr>
          <w:rFonts w:ascii="Times New Roman" w:cs="Times New Roman" w:eastAsia="Times New Roman" w:hAnsi="Times New Roman"/>
          <w:sz w:val="18"/>
          <w:szCs w:val="18"/>
          <w:color w:val="auto"/>
        </w:rPr>
      </w:pPr>
    </w:p>
    <w:p>
      <w:pPr>
        <w:ind w:left="560" w:hanging="358"/>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spending in business development activities to capture market opportunities, targeting efficient payback periods;</w:t>
      </w:r>
    </w:p>
    <w:p>
      <w:pPr>
        <w:spacing w:after="0" w:line="117" w:lineRule="exact"/>
        <w:rPr>
          <w:rFonts w:ascii="Times New Roman" w:cs="Times New Roman" w:eastAsia="Times New Roman" w:hAnsi="Times New Roman"/>
          <w:sz w:val="18"/>
          <w:szCs w:val="18"/>
          <w:color w:val="auto"/>
        </w:rPr>
      </w:pPr>
    </w:p>
    <w:p>
      <w:pPr>
        <w:ind w:left="560" w:hanging="358"/>
        <w:spacing w:after="0" w:line="282"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volumes and sourcing locations of products handled by our RSCG segment, which can cause the capacity and related operating expense requirements for inventory logistics and storage to fluctuate;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Impacts to GAAP Net Income and EPS and Non-GAAP Adjusted Net Income and Adjusted EPS</w:t>
      </w:r>
    </w:p>
    <w:p>
      <w:pPr>
        <w:spacing w:after="0" w:line="119" w:lineRule="exact"/>
        <w:rPr>
          <w:sz w:val="20"/>
          <w:szCs w:val="20"/>
          <w:color w:val="auto"/>
        </w:rPr>
      </w:pPr>
    </w:p>
    <w:p>
      <w:pPr>
        <w:jc w:val="both"/>
        <w:ind w:left="560" w:hanging="358"/>
        <w:spacing w:after="0" w:line="255" w:lineRule="auto"/>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FY26 annual effective tax rate (ETR) is expected to range from approximately 28% to 34%, with a slightly lower rate for the second quarter of 2026 due to deductions from stock compensation vesting that will occur during the quarter. This second quarter rate expectation, combined with higher expected pre-tax income, will cause income tax expense to increase year-over-year. This range excludes any potential impacts from any legislative changes, and excludes potential impacts that have limited visibility and can be highly variable, such as the discrete effects of stock compensation due to participant stock option exercise activity or changes in our stock price. We expect that cash paid for income taxes will increase in FY26 as our US federal net operating loss carryforward became fully utilized during FY25.</w:t>
      </w:r>
    </w:p>
    <w:p>
      <w:pPr>
        <w:spacing w:after="0" w:line="80" w:lineRule="exact"/>
        <w:rPr>
          <w:rFonts w:ascii="Times New Roman" w:cs="Times New Roman" w:eastAsia="Times New Roman" w:hAnsi="Times New Roman"/>
          <w:sz w:val="18"/>
          <w:szCs w:val="18"/>
          <w:color w:val="auto"/>
        </w:rPr>
      </w:pPr>
    </w:p>
    <w:p>
      <w:pPr>
        <w:ind w:left="560" w:hanging="358"/>
        <w:spacing w:after="0" w:line="282" w:lineRule="auto"/>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diluted weighted average number of shares outstanding is expected to be approximately 32.5 to 33.0 million. As of December 31, 2025, we had $15.0 million in remaining authorization to repurchase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080" w:right="10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27" w:lineRule="exact"/>
        <w:rPr>
          <w:sz w:val="20"/>
          <w:szCs w:val="20"/>
          <w:color w:val="auto"/>
        </w:rPr>
      </w:pPr>
    </w:p>
    <w:p>
      <w:pPr>
        <w:jc w:val="both"/>
        <w:ind w:right="740"/>
        <w:spacing w:after="0" w:line="257" w:lineRule="auto"/>
        <w:rPr>
          <w:sz w:val="20"/>
          <w:szCs w:val="20"/>
          <w:color w:val="auto"/>
        </w:rPr>
      </w:pPr>
      <w:r>
        <w:rPr>
          <w:rFonts w:ascii="Times New Roman" w:cs="Times New Roman" w:eastAsia="Times New Roman" w:hAnsi="Times New Roman"/>
          <w:sz w:val="18"/>
          <w:szCs w:val="18"/>
          <w:u w:val="single" w:color="auto"/>
          <w:color w:val="auto"/>
        </w:rPr>
        <w:t>Non-GAAP EBITDA and Non-GAAP Adjusted EBITDA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Non-GAAP EBITDA is a supplemental non-GAAP financial measure and is equal to Net Income plus interest and other income, net; provision for income taxes; and depreciation and amortization. Our definition of Non-GAAP Adjusted EBITDA differs from Non-GAAP EBITDA because we further adjust Non-GAAP EBITDA for stock compensation expense, acquisition costs such as transaction expenses, business realignment expenses, litigation settlement expenses that are not expected to reoccur, and goodwill, long-lived and other non-current asset impairment. A reconciliation of Net Income to Non-GAAP EBITDA and Non-GAAP Adjusted EBITDA is as follows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Three Months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7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1380" w:type="dxa"/>
            <w:vAlign w:val="bottom"/>
            <w:shd w:val="clear" w:color="auto" w:fill="CCEEFF"/>
          </w:tcPr>
          <w:p>
            <w:pPr>
              <w:jc w:val="right"/>
              <w:ind w:right="1203"/>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7,489</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148"/>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5,810</w:t>
            </w:r>
          </w:p>
        </w:tc>
        <w:tc>
          <w:tcPr>
            <w:tcW w:w="100" w:type="dxa"/>
            <w:vAlign w:val="bottom"/>
            <w:shd w:val="clear" w:color="auto" w:fill="CCEEFF"/>
          </w:tcPr>
          <w:p>
            <w:pPr>
              <w:spacing w:after="0"/>
              <w:rPr>
                <w:sz w:val="15"/>
                <w:szCs w:val="15"/>
                <w:color w:val="auto"/>
              </w:rPr>
            </w:pPr>
          </w:p>
        </w:tc>
      </w:tr>
      <w:tr>
        <w:trPr>
          <w:trHeight w:val="189"/>
        </w:trPr>
        <w:tc>
          <w:tcPr>
            <w:tcW w:w="6780" w:type="dxa"/>
            <w:vAlign w:val="bottom"/>
            <w:gridSpan w:val="2"/>
          </w:tcPr>
          <w:p>
            <w:pPr>
              <w:spacing w:after="0" w:line="189" w:lineRule="exact"/>
              <w:rPr>
                <w:sz w:val="20"/>
                <w:szCs w:val="20"/>
                <w:color w:val="auto"/>
              </w:rPr>
            </w:pPr>
            <w:r>
              <w:rPr>
                <w:rFonts w:ascii="Arial" w:cs="Arial" w:eastAsia="Arial" w:hAnsi="Arial"/>
                <w:sz w:val="16"/>
                <w:szCs w:val="16"/>
                <w:color w:val="auto"/>
              </w:rPr>
              <w:t>Interest and other income, net</w:t>
            </w:r>
            <w:r>
              <w:rPr>
                <w:rFonts w:ascii="Arial" w:cs="Arial" w:eastAsia="Arial" w:hAnsi="Arial"/>
                <w:sz w:val="21"/>
                <w:szCs w:val="21"/>
                <w:color w:val="auto"/>
                <w:vertAlign w:val="superscript"/>
              </w:rPr>
              <w:t>1</w:t>
            </w:r>
          </w:p>
        </w:tc>
        <w:tc>
          <w:tcPr>
            <w:tcW w:w="13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(1,196)</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(1,151)</w:t>
            </w:r>
          </w:p>
        </w:tc>
      </w:tr>
      <w:tr>
        <w:trPr>
          <w:trHeight w:val="189"/>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FF0FC"/>
          </w:tcPr>
          <w:p>
            <w:pPr>
              <w:spacing w:after="0"/>
              <w:rPr>
                <w:sz w:val="16"/>
                <w:szCs w:val="16"/>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Pr>
          <w:p>
            <w:pPr>
              <w:spacing w:after="0"/>
              <w:rPr>
                <w:sz w:val="16"/>
                <w:szCs w:val="16"/>
                <w:color w:val="auto"/>
              </w:rPr>
            </w:pPr>
          </w:p>
        </w:tc>
      </w:tr>
      <w:tr>
        <w:trPr>
          <w:trHeight w:val="183"/>
        </w:trPr>
        <w:tc>
          <w:tcPr>
            <w:tcW w:w="67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Non-GAAP EBITDA</w:t>
            </w:r>
          </w:p>
        </w:tc>
        <w:tc>
          <w:tcPr>
            <w:tcW w:w="1380" w:type="dxa"/>
            <w:vAlign w:val="bottom"/>
            <w:tcBorders>
              <w:bottom w:val="single" w:sz="8" w:color="auto"/>
            </w:tcBorders>
            <w:shd w:val="clear" w:color="auto" w:fill="CCEEFF"/>
          </w:tcPr>
          <w:p>
            <w:pPr>
              <w:jc w:val="right"/>
              <w:ind w:right="1203"/>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11,904</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jc w:val="right"/>
              <w:ind w:right="1148"/>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9,555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3"/>
        </w:trPr>
        <w:tc>
          <w:tcPr>
            <w:tcW w:w="6780" w:type="dxa"/>
            <w:vAlign w:val="bottom"/>
            <w:gridSpan w:val="2"/>
          </w:tcPr>
          <w:p>
            <w:pPr>
              <w:spacing w:after="0" w:line="183" w:lineRule="exact"/>
              <w:rPr>
                <w:sz w:val="20"/>
                <w:szCs w:val="20"/>
                <w:color w:val="auto"/>
              </w:rPr>
            </w:pPr>
            <w:r>
              <w:rPr>
                <w:rFonts w:ascii="Arial" w:cs="Arial" w:eastAsia="Arial" w:hAnsi="Arial"/>
                <w:sz w:val="16"/>
                <w:szCs w:val="16"/>
                <w:color w:val="auto"/>
              </w:rPr>
              <w:t>Stock compensation expense</w:t>
            </w:r>
          </w:p>
        </w:tc>
        <w:tc>
          <w:tcPr>
            <w:tcW w:w="13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6,174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3,431</w:t>
            </w:r>
          </w:p>
        </w:tc>
        <w:tc>
          <w:tcPr>
            <w:tcW w:w="100" w:type="dxa"/>
            <w:vAlign w:val="bottom"/>
          </w:tcPr>
          <w:p>
            <w:pPr>
              <w:spacing w:after="0"/>
              <w:rPr>
                <w:sz w:val="15"/>
                <w:szCs w:val="15"/>
                <w:color w:val="auto"/>
              </w:rPr>
            </w:pPr>
          </w:p>
        </w:tc>
      </w:tr>
      <w:tr>
        <w:trPr>
          <w:trHeight w:val="189"/>
        </w:trPr>
        <w:tc>
          <w:tcPr>
            <w:tcW w:w="668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2</w:t>
            </w:r>
          </w:p>
        </w:tc>
        <w:tc>
          <w:tcPr>
            <w:tcW w:w="100" w:type="dxa"/>
            <w:vAlign w:val="bottom"/>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6"/>
                <w:szCs w:val="16"/>
                <w:color w:val="auto"/>
              </w:rPr>
            </w:pPr>
          </w:p>
        </w:tc>
      </w:tr>
      <w:tr>
        <w:trPr>
          <w:trHeight w:val="189"/>
        </w:trPr>
        <w:tc>
          <w:tcPr>
            <w:tcW w:w="6680" w:type="dxa"/>
            <w:vAlign w:val="bottom"/>
          </w:tcPr>
          <w:p>
            <w:pPr>
              <w:spacing w:after="0" w:line="189" w:lineRule="exact"/>
              <w:rPr>
                <w:sz w:val="20"/>
                <w:szCs w:val="20"/>
                <w:color w:val="auto"/>
              </w:rPr>
            </w:pPr>
            <w:r>
              <w:rPr>
                <w:rFonts w:ascii="Arial" w:cs="Arial" w:eastAsia="Arial" w:hAnsi="Arial"/>
                <w:sz w:val="16"/>
                <w:szCs w:val="16"/>
                <w:color w:val="auto"/>
              </w:rPr>
              <w:t>Business realignment expenses</w:t>
            </w:r>
            <w:r>
              <w:rPr>
                <w:rFonts w:ascii="Arial" w:cs="Arial" w:eastAsia="Arial" w:hAnsi="Arial"/>
                <w:sz w:val="21"/>
                <w:szCs w:val="21"/>
                <w:color w:val="auto"/>
                <w:vertAlign w:val="superscript"/>
              </w:rPr>
              <w:t>3</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6"/>
                <w:szCs w:val="16"/>
                <w:color w:val="auto"/>
              </w:rPr>
            </w:pPr>
          </w:p>
        </w:tc>
      </w:tr>
      <w:tr>
        <w:trPr>
          <w:trHeight w:val="208"/>
        </w:trPr>
        <w:tc>
          <w:tcPr>
            <w:tcW w:w="6780" w:type="dxa"/>
            <w:vAlign w:val="bottom"/>
            <w:gridSpan w:val="2"/>
          </w:tcPr>
          <w:p>
            <w:pPr>
              <w:spacing w:after="0"/>
              <w:rPr>
                <w:sz w:val="20"/>
                <w:szCs w:val="20"/>
                <w:color w:val="auto"/>
              </w:rPr>
            </w:pPr>
            <w:r>
              <w:rPr>
                <w:rFonts w:ascii="Arial" w:cs="Arial" w:eastAsia="Arial" w:hAnsi="Arial"/>
                <w:sz w:val="16"/>
                <w:szCs w:val="16"/>
                <w:color w:val="auto"/>
              </w:rPr>
              <w:t>Non-GAAP Adjusted EBITDA</w:t>
            </w:r>
          </w:p>
        </w:tc>
        <w:tc>
          <w:tcPr>
            <w:tcW w:w="1380" w:type="dxa"/>
            <w:vAlign w:val="bottom"/>
            <w:tcBorders>
              <w:top w:val="single" w:sz="8" w:color="auto"/>
            </w:tcBorders>
          </w:tcPr>
          <w:p>
            <w:pPr>
              <w:jc w:val="right"/>
              <w:ind w:right="1203"/>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18,078</w:t>
            </w:r>
          </w:p>
        </w:tc>
        <w:tc>
          <w:tcPr>
            <w:tcW w:w="12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1148"/>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13,109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-513080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740" w:firstLine="8"/>
        <w:spacing w:after="0"/>
        <w:tabs>
          <w:tab w:leader="none" w:pos="81" w:val="left"/>
        </w:tabs>
        <w:numPr>
          <w:ilvl w:val="0"/>
          <w:numId w:val="1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5"/>
          <w:szCs w:val="15"/>
          <w:i w:val="1"/>
          <w:iCs w:val="1"/>
          <w:color w:val="auto"/>
        </w:rPr>
        <w:t>Interest and other income, net, per the Condensed Consolidated Statements of Operations, excludes the non-service components of net periodic pension cost (benefit).</w:t>
      </w:r>
    </w:p>
    <w:p>
      <w:pPr>
        <w:spacing w:after="0" w:line="173" w:lineRule="exact"/>
        <w:rPr>
          <w:rFonts w:ascii="Times New Roman" w:cs="Times New Roman" w:eastAsia="Times New Roman" w:hAnsi="Times New Roman"/>
          <w:sz w:val="21"/>
          <w:szCs w:val="21"/>
          <w:i w:val="1"/>
          <w:iCs w:val="1"/>
          <w:color w:val="auto"/>
          <w:vertAlign w:val="superscript"/>
        </w:rPr>
      </w:pPr>
    </w:p>
    <w:p>
      <w:pPr>
        <w:spacing w:after="0" w:line="238" w:lineRule="auto"/>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6"/>
          <w:szCs w:val="16"/>
          <w:i w:val="1"/>
          <w:iCs w:val="1"/>
          <w:color w:val="auto"/>
        </w:rPr>
        <w:t xml:space="preserve"> Acquisition-related costs are included in Other operating expenses, net on the Condensed Consolidated Statements of Operations.</w:t>
      </w:r>
    </w:p>
    <w:p>
      <w:pPr>
        <w:jc w:val="both"/>
        <w:ind w:right="760"/>
        <w:spacing w:after="0" w:line="235" w:lineRule="auto"/>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3</w:t>
      </w:r>
      <w:r>
        <w:rPr>
          <w:rFonts w:ascii="Times New Roman" w:cs="Times New Roman" w:eastAsia="Times New Roman" w:hAnsi="Times New Roman"/>
          <w:sz w:val="16"/>
          <w:szCs w:val="16"/>
          <w:i w:val="1"/>
          <w:iCs w:val="1"/>
          <w:color w:val="auto"/>
        </w:rPr>
        <w:t xml:space="preserve"> Business realignment expense, included as a component of Other operating expenses, net, on the Condensed Consolidated Statement of Operations, includes the amounts accounted for as exit costs under ASC 420, Exit or Disposal Cost Obligations, and the related impacts of business realignment actions subject to other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9" w:name="page10"/>
    <w:bookmarkEnd w:id="9"/>
    <w:p>
      <w:pPr>
        <w:jc w:val="both"/>
        <w:ind w:right="740"/>
        <w:spacing w:after="0" w:line="254" w:lineRule="auto"/>
        <w:rPr>
          <w:sz w:val="20"/>
          <w:szCs w:val="20"/>
          <w:color w:val="auto"/>
        </w:rPr>
      </w:pPr>
      <w:r>
        <w:rPr>
          <w:rFonts w:ascii="Times New Roman" w:cs="Times New Roman" w:eastAsia="Times New Roman" w:hAnsi="Times New Roman"/>
          <w:sz w:val="18"/>
          <w:szCs w:val="18"/>
          <w:u w:val="single" w:color="auto"/>
          <w:color w:val="auto"/>
        </w:rPr>
        <w:t>Non-GAAP Adjusted Net Income and Non-GAAP Adjusted Basic and Diluted Earnings Per Share.</w:t>
      </w:r>
      <w:r>
        <w:rPr>
          <w:rFonts w:ascii="Times New Roman" w:cs="Times New Roman" w:eastAsia="Times New Roman" w:hAnsi="Times New Roman"/>
          <w:sz w:val="18"/>
          <w:szCs w:val="18"/>
          <w:color w:val="auto"/>
        </w:rPr>
        <w:t xml:space="preserve"> Non-GAAP Adjusted Net Income is a supplemental non-GAAP financial measure and is equal to Net Income plus stock compensation expense, amortization of intangible assets, acquisition related costs such as transaction expenses and changes in earn-out estimates, business realignment expenses, litigation settlement expenses that are not expected to reoccur, goodwill, long-lived and other non-current asset impairments, and the estimated impact of income taxes on these non-GAAP adjustments as well as non-recurring tax adjustments. Non-GAAP Adjusted Basic and Diluted Earnings Per Share are determined using Non-GAAP Adjusted Net Income. For both Q1-FY26 and Q1-FY25, the tax rate used to estimate the impact of income taxes on the non-GAAP adjustments was 29%, based upon the GAAP effective tax rates for each period. A reconciliation of Net Income to Non-GAAP Adjusted Net Income and Non-GAAP Adjusted Basic and Diluted Earnings Per Share is as follows (dollars in thousands, except per share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44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14"/>
                <w:szCs w:val="14"/>
                <w:b w:val="1"/>
                <w:bCs w:val="1"/>
                <w:color w:val="auto"/>
              </w:rPr>
              <w:t>Three Months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86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8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1160" w:type="dxa"/>
            <w:vAlign w:val="bottom"/>
            <w:shd w:val="clear" w:color="auto" w:fill="CCEEFF"/>
          </w:tcPr>
          <w:p>
            <w:pPr>
              <w:jc w:val="right"/>
              <w:ind w:right="982"/>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7,489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61"/>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5,810</w:t>
            </w:r>
          </w:p>
        </w:tc>
        <w:tc>
          <w:tcPr>
            <w:tcW w:w="100" w:type="dxa"/>
            <w:vAlign w:val="bottom"/>
            <w:shd w:val="clear" w:color="auto" w:fill="CCEEFF"/>
          </w:tcPr>
          <w:p>
            <w:pPr>
              <w:spacing w:after="0"/>
              <w:rPr>
                <w:sz w:val="15"/>
                <w:szCs w:val="15"/>
                <w:color w:val="auto"/>
              </w:rPr>
            </w:pPr>
          </w:p>
        </w:tc>
      </w:tr>
      <w:tr>
        <w:trPr>
          <w:trHeight w:val="189"/>
        </w:trPr>
        <w:tc>
          <w:tcPr>
            <w:tcW w:w="6860" w:type="dxa"/>
            <w:vAlign w:val="bottom"/>
          </w:tcPr>
          <w:p>
            <w:pPr>
              <w:spacing w:after="0"/>
              <w:rPr>
                <w:sz w:val="20"/>
                <w:szCs w:val="20"/>
                <w:color w:val="auto"/>
              </w:rPr>
            </w:pPr>
            <w:r>
              <w:rPr>
                <w:rFonts w:ascii="Arial" w:cs="Arial" w:eastAsia="Arial" w:hAnsi="Arial"/>
                <w:sz w:val="16"/>
                <w:szCs w:val="16"/>
                <w:color w:val="auto"/>
              </w:rPr>
              <w:t>Stock compensation expense</w:t>
            </w:r>
          </w:p>
        </w:tc>
        <w:tc>
          <w:tcPr>
            <w:tcW w:w="1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3,431</w:t>
            </w:r>
          </w:p>
        </w:tc>
        <w:tc>
          <w:tcPr>
            <w:tcW w:w="100" w:type="dxa"/>
            <w:vAlign w:val="bottom"/>
          </w:tcPr>
          <w:p>
            <w:pPr>
              <w:spacing w:after="0"/>
              <w:rPr>
                <w:sz w:val="16"/>
                <w:szCs w:val="16"/>
                <w:color w:val="auto"/>
              </w:rPr>
            </w:pPr>
          </w:p>
        </w:tc>
      </w:tr>
      <w:tr>
        <w:trPr>
          <w:trHeight w:val="189"/>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w:t>
            </w:r>
          </w:p>
        </w:tc>
        <w:tc>
          <w:tcPr>
            <w:tcW w:w="1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6"/>
                <w:szCs w:val="16"/>
                <w:color w:val="auto"/>
              </w:rPr>
            </w:pPr>
          </w:p>
        </w:tc>
      </w:tr>
      <w:tr>
        <w:trPr>
          <w:trHeight w:val="189"/>
        </w:trPr>
        <w:tc>
          <w:tcPr>
            <w:tcW w:w="6860" w:type="dxa"/>
            <w:vAlign w:val="bottom"/>
          </w:tcPr>
          <w:p>
            <w:pPr>
              <w:spacing w:after="0" w:line="189"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1160" w:type="dxa"/>
            <w:vAlign w:val="bottom"/>
          </w:tcPr>
          <w:p>
            <w:pPr>
              <w:spacing w:after="0"/>
              <w:rPr>
                <w:sz w:val="16"/>
                <w:szCs w:val="16"/>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r>
      <w:tr>
        <w:trPr>
          <w:trHeight w:val="189"/>
        </w:trPr>
        <w:tc>
          <w:tcPr>
            <w:tcW w:w="686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Business realignment expenses</w:t>
            </w:r>
            <w:r>
              <w:rPr>
                <w:rFonts w:ascii="Arial" w:cs="Arial" w:eastAsia="Arial" w:hAnsi="Arial"/>
                <w:sz w:val="21"/>
                <w:szCs w:val="21"/>
                <w:color w:val="auto"/>
                <w:vertAlign w:val="superscript"/>
              </w:rPr>
              <w:t>1,2</w:t>
            </w:r>
          </w:p>
        </w:tc>
        <w:tc>
          <w:tcPr>
            <w:tcW w:w="1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6"/>
                <w:szCs w:val="16"/>
                <w:color w:val="auto"/>
              </w:rPr>
            </w:pPr>
          </w:p>
        </w:tc>
      </w:tr>
      <w:tr>
        <w:trPr>
          <w:trHeight w:val="189"/>
        </w:trPr>
        <w:tc>
          <w:tcPr>
            <w:tcW w:w="6860" w:type="dxa"/>
            <w:vAlign w:val="bottom"/>
          </w:tcPr>
          <w:p>
            <w:pPr>
              <w:spacing w:after="0"/>
              <w:rPr>
                <w:sz w:val="20"/>
                <w:szCs w:val="20"/>
                <w:color w:val="auto"/>
              </w:rPr>
            </w:pPr>
            <w:r>
              <w:rPr>
                <w:rFonts w:ascii="Arial" w:cs="Arial" w:eastAsia="Arial" w:hAnsi="Arial"/>
                <w:sz w:val="16"/>
                <w:szCs w:val="16"/>
                <w:color w:val="auto"/>
              </w:rPr>
              <w:t>Income tax impact on the adjustment items</w:t>
            </w:r>
          </w:p>
        </w:tc>
        <w:tc>
          <w:tcPr>
            <w:tcW w:w="11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(2,004)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(1,266)</w:t>
            </w:r>
          </w:p>
        </w:tc>
      </w:tr>
      <w:tr>
        <w:trPr>
          <w:trHeight w:val="223"/>
        </w:trPr>
        <w:tc>
          <w:tcPr>
            <w:tcW w:w="68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Non-GAAP Adjusted net income</w:t>
            </w:r>
          </w:p>
        </w:tc>
        <w:tc>
          <w:tcPr>
            <w:tcW w:w="1160" w:type="dxa"/>
            <w:vAlign w:val="bottom"/>
            <w:tcBorders>
              <w:top w:val="single" w:sz="8" w:color="auto"/>
              <w:bottom w:val="single" w:sz="8" w:color="auto"/>
            </w:tcBorders>
            <w:shd w:val="clear" w:color="auto" w:fill="CCEEFF"/>
          </w:tcPr>
          <w:p>
            <w:pPr>
              <w:jc w:val="right"/>
              <w:ind w:right="982"/>
              <w:spacing w:after="0" w:line="169"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12,442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61"/>
              <w:spacing w:after="0" w:line="169"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8,908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69"/>
        </w:trPr>
        <w:tc>
          <w:tcPr>
            <w:tcW w:w="6860" w:type="dxa"/>
            <w:vAlign w:val="bottom"/>
          </w:tcPr>
          <w:p>
            <w:pPr>
              <w:spacing w:after="0" w:line="170" w:lineRule="exact"/>
              <w:rPr>
                <w:sz w:val="20"/>
                <w:szCs w:val="20"/>
                <w:color w:val="auto"/>
              </w:rPr>
            </w:pPr>
            <w:r>
              <w:rPr>
                <w:rFonts w:ascii="Arial" w:cs="Arial" w:eastAsia="Arial" w:hAnsi="Arial"/>
                <w:sz w:val="16"/>
                <w:szCs w:val="16"/>
                <w:color w:val="auto"/>
              </w:rPr>
              <w:t>Non-GAAP Adjusted basic earnings per common share</w:t>
            </w:r>
          </w:p>
        </w:tc>
        <w:tc>
          <w:tcPr>
            <w:tcW w:w="1160" w:type="dxa"/>
            <w:vAlign w:val="bottom"/>
          </w:tcPr>
          <w:p>
            <w:pPr>
              <w:jc w:val="right"/>
              <w:ind w:right="982"/>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0.41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961"/>
              <w:spacing w:after="0" w:line="170"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0.29</w:t>
            </w:r>
          </w:p>
        </w:tc>
        <w:tc>
          <w:tcPr>
            <w:tcW w:w="100" w:type="dxa"/>
            <w:vAlign w:val="bottom"/>
          </w:tcPr>
          <w:p>
            <w:pPr>
              <w:spacing w:after="0"/>
              <w:rPr>
                <w:sz w:val="14"/>
                <w:szCs w:val="14"/>
                <w:color w:val="auto"/>
              </w:rPr>
            </w:pPr>
          </w:p>
        </w:tc>
      </w:tr>
      <w:tr>
        <w:trPr>
          <w:trHeight w:val="189"/>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Non-GAAP Adjusted diluted earnings per common share</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16"/>
                <w:szCs w:val="16"/>
                <w:color w:val="auto"/>
              </w:rPr>
            </w:pPr>
          </w:p>
        </w:tc>
      </w:tr>
      <w:tr>
        <w:trPr>
          <w:trHeight w:val="175"/>
        </w:trPr>
        <w:tc>
          <w:tcPr>
            <w:tcW w:w="6860" w:type="dxa"/>
            <w:vAlign w:val="bottom"/>
          </w:tcPr>
          <w:p>
            <w:pPr>
              <w:spacing w:after="0" w:line="175" w:lineRule="exact"/>
              <w:rPr>
                <w:sz w:val="20"/>
                <w:szCs w:val="20"/>
                <w:color w:val="auto"/>
              </w:rPr>
            </w:pPr>
            <w:r>
              <w:rPr>
                <w:rFonts w:ascii="Arial" w:cs="Arial" w:eastAsia="Arial" w:hAnsi="Arial"/>
                <w:sz w:val="16"/>
                <w:szCs w:val="16"/>
                <w:color w:val="auto"/>
              </w:rPr>
              <w:t>Basic weighted average shares outstanding</w:t>
            </w:r>
          </w:p>
        </w:tc>
        <w:tc>
          <w:tcPr>
            <w:tcW w:w="116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30,637,211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w w:val="99"/>
              </w:rPr>
              <w:t>30,642,438</w:t>
            </w:r>
          </w:p>
        </w:tc>
        <w:tc>
          <w:tcPr>
            <w:tcW w:w="100" w:type="dxa"/>
            <w:vAlign w:val="bottom"/>
          </w:tcPr>
          <w:p>
            <w:pPr>
              <w:spacing w:after="0"/>
              <w:rPr>
                <w:sz w:val="15"/>
                <w:szCs w:val="15"/>
                <w:color w:val="auto"/>
              </w:rPr>
            </w:pPr>
          </w:p>
        </w:tc>
      </w:tr>
      <w:tr>
        <w:trPr>
          <w:trHeight w:val="201"/>
        </w:trPr>
        <w:tc>
          <w:tcPr>
            <w:tcW w:w="686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1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32,295,229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32,204,055</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-503555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-486410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-503555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-486410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760" w:firstLine="8"/>
        <w:spacing w:after="0" w:line="227" w:lineRule="auto"/>
        <w:tabs>
          <w:tab w:leader="none" w:pos="119" w:val="left"/>
        </w:tabs>
        <w:numPr>
          <w:ilvl w:val="0"/>
          <w:numId w:val="14"/>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Acquisition-related costs, and business realignment expenses are included in Other operating expenses, net on the Condensed Consolidated Statement of Operations.</w:t>
      </w:r>
    </w:p>
    <w:p>
      <w:pPr>
        <w:spacing w:after="0" w:line="1" w:lineRule="exact"/>
        <w:rPr>
          <w:rFonts w:ascii="Times New Roman" w:cs="Times New Roman" w:eastAsia="Times New Roman" w:hAnsi="Times New Roman"/>
          <w:sz w:val="22"/>
          <w:szCs w:val="22"/>
          <w:i w:val="1"/>
          <w:iCs w:val="1"/>
          <w:color w:val="auto"/>
          <w:vertAlign w:val="superscript"/>
        </w:rPr>
      </w:pPr>
    </w:p>
    <w:p>
      <w:pPr>
        <w:jc w:val="both"/>
        <w:ind w:right="760"/>
        <w:spacing w:after="0" w:line="246" w:lineRule="auto"/>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6"/>
          <w:szCs w:val="16"/>
          <w:i w:val="1"/>
          <w:iCs w:val="1"/>
          <w:color w:val="auto"/>
        </w:rPr>
        <w:t xml:space="preserve"> Business realignment expense, included as a component of Other operating expenses, net, on the Condensed Consolidated Statement of Operations, includes the amounts accounted for as exit costs under ASC 420, Exit or Disposal Cost Obligations, and the related impacts of business realignment actions subject to other accounting guidance.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0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Company will host a conference call to discuss these results at 10:30 a.m. Eastern Time today. Investors and other interested parties may access the teleconference by registering here to receive the dial-in number and unique conference pin. A live listen-only webcast of the conference call will be provided on the Company's investor relations website at https://investors.liquidityservices.com. An archive of the web cast will be available on the Company's website until February 5, 2027. The replay will be available starting at 1:30 p.m. Eastern Time on the day of the call.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8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generally accepted accounting principles (GAAP), we use certain non-GAAP measures of certain components of financial performance. These non-GAAP measures include earnings before interest, taxes, depreciation and amortization (EBITDA), Adjusted EBITDA, Adjusted Net Income (Loss) and Adjusted Earnings (Loss) per Share. These non-GAAP measures are provided to enhance investors’ overall understanding of our current financial performance and prospects for the future. We use EBITDA and Adjusted EBITDA: (a) as measurements of operating performance because they assist us in comparing our operating performance on a consistent basis as they do not reflect the impact of items not directly resulting from our core operations; (b) for planning purposes, including the preparation of our internal annual operating budget; (c) to allocate resources to enhance the financial performance of our business; (d) to evaluate the effectiveness of our operational strategies; and (e) to evaluate our capacity to fund capital expenditures and expand our business. Adjusted Earnings (Loss) per Share is the result of our Adjusted Net Income (Loss) and diluted shares outstanding.</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prepare Non-GAAP Adjusted EBITDA by eliminating from Non-GAAP EBITDA the impact of items that we do not consider indicative of our core operating performance. You are encouraged to evaluate these adjustments and the reasons we consider them appropriate for supplemental analysis. As an analytical tool, Non-GAAP Adjusted EBITDA is subject to all of the limitations applicable to Non-GAAP EBITDA. Our presentation of Non-GAAP Adjusted EBITDA should not be construed as an implication that our future results will be unaffected by unusual or non-recurring items.</w:t>
      </w:r>
    </w:p>
    <w:p>
      <w:pPr>
        <w:spacing w:after="0" w:line="14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believe these non-GAAP measures provide useful information to both management and investors by excluding certain expenses that may not be indicative of our core operating measures. In addition, because we have historically reported certain non-GAAP measures to investors, we believe the inclusion of non-GAAP measures provides consistency in our financial reporting. These measures should be considered in addition to financial information prepared in accordance with GAAP, but should not be considered a substitute for, or superior to, GAAP results. A reconciliation of all historical non-GAAP measures included in this press release, to the most directly comparable GAAP measures, may be found in the financial tables included in this press release.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quantitatively reconcile our guidance ranges for our non-GAAP measures to their most comparable GAAP measures in the Business Outlook section of this press release. The guidance ranges for our GAAP and non-GAAP financial measures reflect our assessment of potential sources of variability in our financial results and are informed by our evaluation of multiple scenarios, many of which have interactive effects across several financial statement line items. Providing guidance for individual reconciling items between our non-GAAP financial measures and the comparable GAAP measures would imply a degree of precision and certainty in those reconciling items that is not a consistent reflection of our scenario-based process to prepare our guidance ranges. To the extent that a material change affecting the individual reconciling items between the Company’s forward-looking non-GAAP and comparable GAAP financial measures is anticipated, the Company has provided qualitative commentary in the Business Outlook section of this press release for your consideration. However, as the impact of such factors cannot be predicted with a reasonable degree of certainty or precision, a quantitative reconciliation is not available without unreasonable effort.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Operating Data</w:t>
      </w:r>
    </w:p>
    <w:p>
      <w:pPr>
        <w:spacing w:after="0" w:line="18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GAAP, we use certain supplemental operating data as a measure of certain components of operating performance. GMV is the total sales value of all transactions for which we earned compensation upon their completion through our marketplaces or other channels during a given period of time. We review GMV because it provides a measure of the volume of goods being sold in our marketplaces and thus the activity of those marketplaces. GMV and our other supplemental operating data, including registered buyers, auction participants and completed transactions, also provide a means to evaluate the effectiveness of investments that we have made and continue to make in the areas of seller and buyer support, value-added services, product development, sales and marketing and operations. Therefore, we believe this supplemental operating data provides useful information to both management and investors. In addition, because we have historically reported certain supplemental operating data to investors, we believe the inclusion of this supplemental operating data provides consistency in our financial reporting. This data should be considered in addition to financial information prepared in accordance with GAAP, but should not be considered a substitute for, or superior to, GAAP results.</w:t>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43" w:right="10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contains forward-looking statements made pursuant to the Private Securities Litigation Reform Act of 1995.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statements include, but are not limited to, statements regarding the Company’s business outlook; expected future results; expected future effective tax rates; and trends and assumptions about future periods. You can identify forward-looking statements by terminology such as “may,” “will,” “should,” “could,” “would,” “expects,” “intends,” “plans,” “anticipates,” “believes,” “estimates,” “predicts,” “potential,” “continues” or the negative of these terms or other comparable terminology. Our business is subject to a number of risks and uncertainties, and our past performance is no guarantee of our performance in future periods. Although we believe that the expectations reflected in the forward-looking statements are reasonable, we cannot guarantee future results, levels of activity, performance or achievements.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are several risks and uncertainties that could cause our actual results to differ materially from the forward-looking statements in this document. Important factors that could cause our actual results to differ materially from those expressed as forward-looking statements are set forth in our filings with the SEC from time to time, and include, among others: our ability to source sufficient assets from sellers to attract and retain active professional buyers; our need to successfully react to the increasing importance of mobile commerce and the increasing environmental and social impact aspects of e-commerce in an increasingly competitive environment for our business, including not only risks of disintermediation of our e-commerce services by our competitors but also by our buyers and sellers; the performance of our continuing initiatives; disruptions in our vendor contracts with Amazon.com, Inc., under which we acquire a significant portion of our purchased inventory; our ability to timely upgrade and develop our information technology systems, infrastructure and digital marketing and customer service capabilities at reasonable cost and scale while complying with applicable data privacy and security laws and maintaining site stability and performance to allow our operations to grow in both size and scope; our ability to attract, retain and develop the skilled employees that we need to support our business; competitive pressures from different industries affecting our ability to attract and retain buyers and sellers; retail clients investing in their warehouse operations capacity to handle higher volumes of online returns, resulting in retailers sending the Company a reduced volume of returns merchandise or sending us a product mix lower in value due to the removal of high value returns; system interruptions, a lack of control over third parties software, and dependence on third parties for marketing technology, that could affect our websites or our transaction systems and impair the services we provide to our sellers and buyers; our ability to maintain the privacy and security of personal and business information amidst multiplying threat landscapes and in compliance with privacy and data protection regulations globally; the operations of customers, project size and timing of auctions, operating costs, seasonality of our business and general economic conditions; the numerous factors that influence the supply of and demand for used merchandise, equipment and surplus assets, and cause volatility in our stock price; our ability to integrate acquired companies, and execute on anticipated business plans such as the efforts underway with local and state governments to advance legislation that allows for online auctions for foreclosed and tax foreclosed real estate; costs of developing and maintaining our international operations; political, business, economic and other conditions in local, regional and global sectors; the continuing impacts of geopolitical events, including armed conflicts in Ukraine, in and adjacent to Israel, and elsewhere; and impacts from escalating interest rates and inflation on our operations; the supply of, demand for or market values of surplus assets, such as shortages in supply of used vehicles; the numerous government regulations of e-commerce and other services, competition, and restrictive governmental actions, including any failure or perceived failure by us, or third parties with which we do business, to comply with applicable data privacy and security laws, and regulations that our applicable to our auction business; and other risks and uncertainties set forth in the Company’s Annual Report on Form 10-K for the year ended September 30, 2025, and our subsequent quarterly reports, all of which is available on the SEC and Company websites. There may be other factors of which we are currently unaware or which we deem immaterial that may cause our actual results to differ materially from the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43" w:right="10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About Liquidity Services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Services (NASDAQ:LQDT) operates the world's largest B2B e-commerce marketplace platform for surplus assets with over $15 billion in completed transactions to more than five million qualified buyers and 15,000 corporate and government sellers worldwide. The company supports its clients' sustainability efforts by helping them extend the life of assets, prevent unnecessary waste and carbon emissions, and reduce the number of products headed to landfills.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8080C0"/>
        </w:rPr>
        <w:t>investorrelations@liquidityservicesinc.com</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43" w:right="1079" w:bottom="1440" w:gutter="0" w:footer="0" w:header="0"/>
        </w:sectPr>
      </w:pPr>
    </w:p>
    <w:bookmarkStart w:id="13" w:name="page14"/>
    <w:bookmarkEnd w:id="13"/>
    <w:p>
      <w:pPr>
        <w:jc w:val="center"/>
        <w:ind w:right="740"/>
        <w:spacing w:after="0"/>
        <w:rPr>
          <w:sz w:val="20"/>
          <w:szCs w:val="20"/>
          <w:color w:val="auto"/>
        </w:rPr>
      </w:pPr>
      <w:r>
        <w:rPr>
          <w:rFonts w:ascii="Times New Roman" w:cs="Times New Roman" w:eastAsia="Times New Roman" w:hAnsi="Times New Roman"/>
          <w:sz w:val="19"/>
          <w:szCs w:val="19"/>
          <w:b w:val="1"/>
          <w:bCs w:val="1"/>
          <w:color w:val="auto"/>
        </w:rPr>
        <w:t>Liquidity Services and Subsidiaries</w:t>
      </w:r>
    </w:p>
    <w:p>
      <w:pPr>
        <w:spacing w:after="0" w:line="1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9"/>
          <w:szCs w:val="19"/>
          <w:b w:val="1"/>
          <w:bCs w:val="1"/>
          <w:color w:val="auto"/>
        </w:rPr>
        <w:t>Unaudited Condensed Consolidated Balance Sheets</w:t>
      </w:r>
    </w:p>
    <w:p>
      <w:pPr>
        <w:jc w:val="center"/>
        <w:ind w:right="740"/>
        <w:spacing w:after="0"/>
        <w:rPr>
          <w:sz w:val="20"/>
          <w:szCs w:val="20"/>
          <w:color w:val="auto"/>
        </w:rPr>
      </w:pPr>
      <w:r>
        <w:rPr>
          <w:rFonts w:ascii="Times New Roman" w:cs="Times New Roman" w:eastAsia="Times New Roman" w:hAnsi="Times New Roman"/>
          <w:sz w:val="19"/>
          <w:szCs w:val="19"/>
          <w:b w:val="1"/>
          <w:bCs w:val="1"/>
          <w:color w:val="auto"/>
        </w:rPr>
        <w:t>(Dollars 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4"/>
                <w:szCs w:val="14"/>
                <w:color w:val="auto"/>
              </w:rPr>
            </w:pPr>
          </w:p>
        </w:tc>
      </w:tr>
      <w:tr>
        <w:trPr>
          <w:trHeight w:val="156"/>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169,800</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174,607</w:t>
            </w:r>
          </w:p>
        </w:tc>
        <w:tc>
          <w:tcPr>
            <w:tcW w:w="120" w:type="dxa"/>
            <w:vAlign w:val="bottom"/>
            <w:shd w:val="clear" w:color="auto" w:fill="CFF0FC"/>
          </w:tcPr>
          <w:p>
            <w:pPr>
              <w:spacing w:after="0"/>
              <w:rPr>
                <w:sz w:val="16"/>
                <w:szCs w:val="16"/>
                <w:color w:val="auto"/>
              </w:rPr>
            </w:pP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11,621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11,212</w:t>
            </w: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receivable, net of allowance for doubtful accounts of $666 and $777</w:t>
            </w:r>
          </w:p>
        </w:tc>
        <w:tc>
          <w:tcPr>
            <w:tcW w:w="20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11,284</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11,176</w:t>
            </w:r>
          </w:p>
        </w:tc>
        <w:tc>
          <w:tcPr>
            <w:tcW w:w="120" w:type="dxa"/>
            <w:vAlign w:val="bottom"/>
            <w:shd w:val="clear" w:color="auto" w:fill="CFF0FC"/>
          </w:tcPr>
          <w:p>
            <w:pPr>
              <w:spacing w:after="0"/>
              <w:rPr>
                <w:sz w:val="16"/>
                <w:szCs w:val="16"/>
                <w:color w:val="auto"/>
              </w:rPr>
            </w:pP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Inventory, net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14,407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14,180</w:t>
            </w: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Prepaid taxes and tax refund receivable</w:t>
            </w:r>
          </w:p>
        </w:tc>
        <w:tc>
          <w:tcPr>
            <w:tcW w:w="2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2,235</w:t>
            </w:r>
          </w:p>
        </w:tc>
        <w:tc>
          <w:tcPr>
            <w:tcW w:w="30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1,757</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6"/>
                <w:szCs w:val="16"/>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9,914</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11,857</w:t>
            </w:r>
          </w:p>
        </w:tc>
        <w:tc>
          <w:tcPr>
            <w:tcW w:w="120" w:type="dxa"/>
            <w:vAlign w:val="bottom"/>
          </w:tcPr>
          <w:p>
            <w:pPr>
              <w:spacing w:after="0"/>
              <w:rPr>
                <w:sz w:val="16"/>
                <w:szCs w:val="16"/>
                <w:color w:val="auto"/>
              </w:rPr>
            </w:pPr>
          </w:p>
        </w:tc>
      </w:tr>
      <w:tr>
        <w:trPr>
          <w:trHeight w:val="183"/>
        </w:trPr>
        <w:tc>
          <w:tcPr>
            <w:tcW w:w="70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FF0FC"/>
          </w:tcPr>
          <w:p>
            <w:pPr>
              <w:spacing w:after="0"/>
              <w:rPr>
                <w:sz w:val="15"/>
                <w:szCs w:val="15"/>
                <w:color w:val="auto"/>
              </w:rPr>
            </w:pPr>
          </w:p>
        </w:tc>
        <w:tc>
          <w:tcPr>
            <w:tcW w:w="17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219,261</w:t>
            </w: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6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224,789</w:t>
            </w:r>
          </w:p>
        </w:tc>
        <w:tc>
          <w:tcPr>
            <w:tcW w:w="120" w:type="dxa"/>
            <w:vAlign w:val="bottom"/>
            <w:shd w:val="clear" w:color="auto" w:fill="CFF0FC"/>
          </w:tcPr>
          <w:p>
            <w:pPr>
              <w:spacing w:after="0"/>
              <w:rPr>
                <w:sz w:val="15"/>
                <w:szCs w:val="15"/>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18,745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18,259</w:t>
            </w: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11,499</w:t>
            </w:r>
          </w:p>
        </w:tc>
        <w:tc>
          <w:tcPr>
            <w:tcW w:w="120" w:type="dxa"/>
            <w:vAlign w:val="bottom"/>
            <w:shd w:val="clear" w:color="auto" w:fill="CFF0FC"/>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12,563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13,340</w:t>
            </w: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102,889</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102,875</w:t>
            </w:r>
          </w:p>
        </w:tc>
        <w:tc>
          <w:tcPr>
            <w:tcW w:w="120" w:type="dxa"/>
            <w:vAlign w:val="bottom"/>
            <w:shd w:val="clear" w:color="auto" w:fill="CFF0FC"/>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567</w:t>
            </w: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3,832</w:t>
            </w:r>
          </w:p>
        </w:tc>
        <w:tc>
          <w:tcPr>
            <w:tcW w:w="30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3,772</w:t>
            </w:r>
          </w:p>
        </w:tc>
      </w:tr>
      <w:tr>
        <w:trPr>
          <w:trHeight w:val="183"/>
        </w:trPr>
        <w:tc>
          <w:tcPr>
            <w:tcW w:w="70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369,144</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375,101</w:t>
            </w:r>
          </w:p>
        </w:tc>
        <w:tc>
          <w:tcPr>
            <w:tcW w:w="120" w:type="dxa"/>
            <w:vAlign w:val="bottom"/>
            <w:tcBorders>
              <w:top w:val="single" w:sz="8" w:color="CFF0FC"/>
            </w:tcBorders>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70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52,220</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61,454</w:t>
            </w:r>
          </w:p>
        </w:tc>
        <w:tc>
          <w:tcPr>
            <w:tcW w:w="120" w:type="dxa"/>
            <w:vAlign w:val="bottom"/>
            <w:shd w:val="clear" w:color="auto" w:fill="CFF0FC"/>
          </w:tcPr>
          <w:p>
            <w:pPr>
              <w:spacing w:after="0"/>
              <w:rPr>
                <w:sz w:val="16"/>
                <w:szCs w:val="16"/>
                <w:color w:val="auto"/>
              </w:rPr>
            </w:pP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23,264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30,575</w:t>
            </w: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4,894</w:t>
            </w:r>
          </w:p>
        </w:tc>
        <w:tc>
          <w:tcPr>
            <w:tcW w:w="30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5,071</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6"/>
                <w:szCs w:val="16"/>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4,857</w:t>
            </w:r>
          </w:p>
        </w:tc>
        <w:tc>
          <w:tcPr>
            <w:tcW w:w="30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5,093</w:t>
            </w:r>
          </w:p>
        </w:tc>
      </w:tr>
      <w:tr>
        <w:trPr>
          <w:trHeight w:val="189"/>
        </w:trPr>
        <w:tc>
          <w:tcPr>
            <w:tcW w:w="7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Payables to sellers</w:t>
            </w:r>
          </w:p>
        </w:tc>
        <w:tc>
          <w:tcPr>
            <w:tcW w:w="20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57,989</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59,432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7000" w:type="dxa"/>
            <w:vAlign w:val="bottom"/>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5"/>
                <w:szCs w:val="15"/>
                <w:color w:val="auto"/>
              </w:rPr>
            </w:pPr>
          </w:p>
        </w:tc>
        <w:tc>
          <w:tcPr>
            <w:tcW w:w="1720" w:type="dxa"/>
            <w:vAlign w:val="bottom"/>
          </w:tcPr>
          <w:p>
            <w:pPr>
              <w:jc w:val="right"/>
              <w:spacing w:after="0" w:line="183" w:lineRule="exact"/>
              <w:rPr>
                <w:sz w:val="20"/>
                <w:szCs w:val="20"/>
                <w:color w:val="auto"/>
              </w:rPr>
            </w:pPr>
            <w:r>
              <w:rPr>
                <w:rFonts w:ascii="Arial" w:cs="Arial" w:eastAsia="Arial" w:hAnsi="Arial"/>
                <w:sz w:val="16"/>
                <w:szCs w:val="16"/>
                <w:color w:val="auto"/>
              </w:rPr>
              <w:t>143,224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spacing w:after="0" w:line="183" w:lineRule="exact"/>
              <w:rPr>
                <w:sz w:val="20"/>
                <w:szCs w:val="20"/>
                <w:color w:val="auto"/>
              </w:rPr>
            </w:pPr>
            <w:r>
              <w:rPr>
                <w:rFonts w:ascii="Arial" w:cs="Arial" w:eastAsia="Arial" w:hAnsi="Arial"/>
                <w:sz w:val="16"/>
                <w:szCs w:val="16"/>
                <w:color w:val="auto"/>
              </w:rPr>
              <w:t>161,625</w:t>
            </w:r>
          </w:p>
        </w:tc>
        <w:tc>
          <w:tcPr>
            <w:tcW w:w="120" w:type="dxa"/>
            <w:vAlign w:val="bottom"/>
          </w:tcPr>
          <w:p>
            <w:pPr>
              <w:spacing w:after="0"/>
              <w:rPr>
                <w:sz w:val="15"/>
                <w:szCs w:val="15"/>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8,613</w:t>
            </w:r>
          </w:p>
        </w:tc>
        <w:tc>
          <w:tcPr>
            <w:tcW w:w="30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8,723</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6"/>
                <w:szCs w:val="16"/>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2,042</w:t>
            </w:r>
          </w:p>
        </w:tc>
        <w:tc>
          <w:tcPr>
            <w:tcW w:w="30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1,511</w:t>
            </w:r>
          </w:p>
        </w:tc>
      </w:tr>
      <w:tr>
        <w:trPr>
          <w:trHeight w:val="183"/>
        </w:trPr>
        <w:tc>
          <w:tcPr>
            <w:tcW w:w="7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shd w:val="clear" w:color="auto" w:fill="CFF0FC"/>
          </w:tcPr>
          <w:p>
            <w:pPr>
              <w:spacing w:after="0"/>
              <w:rPr>
                <w:sz w:val="15"/>
                <w:szCs w:val="15"/>
                <w:color w:val="auto"/>
              </w:rPr>
            </w:pPr>
          </w:p>
        </w:tc>
        <w:tc>
          <w:tcPr>
            <w:tcW w:w="17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153,879</w:t>
            </w: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6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171,859</w:t>
            </w:r>
          </w:p>
        </w:tc>
        <w:tc>
          <w:tcPr>
            <w:tcW w:w="120" w:type="dxa"/>
            <w:vAlign w:val="bottom"/>
            <w:shd w:val="clear" w:color="auto" w:fill="CFF0FC"/>
          </w:tcPr>
          <w:p>
            <w:pPr>
              <w:spacing w:after="0"/>
              <w:rPr>
                <w:sz w:val="15"/>
                <w:szCs w:val="15"/>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75"/>
        </w:trPr>
        <w:tc>
          <w:tcPr>
            <w:tcW w:w="7000" w:type="dxa"/>
            <w:vAlign w:val="bottom"/>
          </w:tcPr>
          <w:p>
            <w:pPr>
              <w:spacing w:after="0" w:line="175" w:lineRule="exact"/>
              <w:rPr>
                <w:sz w:val="20"/>
                <w:szCs w:val="20"/>
                <w:color w:val="auto"/>
              </w:rPr>
            </w:pPr>
            <w:r>
              <w:rPr>
                <w:rFonts w:ascii="Arial" w:cs="Arial" w:eastAsia="Arial" w:hAnsi="Arial"/>
                <w:sz w:val="16"/>
                <w:szCs w:val="16"/>
                <w:color w:val="auto"/>
              </w:rPr>
              <w:t>Common stock, $0.001 par value; 120,000,000 shares authorized; 37,501,270 shares issued</w:t>
            </w: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and outstanding at December 31, 2025; 37,317,175 shares issued and outstanding at</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September 30, 2025</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6"/>
                <w:szCs w:val="16"/>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291,531</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285,721</w:t>
            </w:r>
          </w:p>
        </w:tc>
        <w:tc>
          <w:tcPr>
            <w:tcW w:w="120" w:type="dxa"/>
            <w:vAlign w:val="bottom"/>
            <w:shd w:val="clear" w:color="auto" w:fill="CFF0FC"/>
          </w:tcPr>
          <w:p>
            <w:pPr>
              <w:spacing w:after="0"/>
              <w:rPr>
                <w:sz w:val="16"/>
                <w:szCs w:val="16"/>
                <w:color w:val="auto"/>
              </w:rPr>
            </w:pPr>
          </w:p>
        </w:tc>
      </w:tr>
      <w:tr>
        <w:trPr>
          <w:trHeight w:val="175"/>
        </w:trPr>
        <w:tc>
          <w:tcPr>
            <w:tcW w:w="7000" w:type="dxa"/>
            <w:vAlign w:val="bottom"/>
          </w:tcPr>
          <w:p>
            <w:pPr>
              <w:ind w:left="80"/>
              <w:spacing w:after="0" w:line="175" w:lineRule="exact"/>
              <w:rPr>
                <w:sz w:val="20"/>
                <w:szCs w:val="20"/>
                <w:color w:val="auto"/>
              </w:rPr>
            </w:pPr>
            <w:r>
              <w:rPr>
                <w:rFonts w:ascii="Arial" w:cs="Arial" w:eastAsia="Arial" w:hAnsi="Arial"/>
                <w:sz w:val="16"/>
                <w:szCs w:val="16"/>
                <w:color w:val="auto"/>
              </w:rPr>
              <w:t>Treasury stock, at cost; 6,698,214 shares at December 31, 2025, and 6,640,580 shares at</w:t>
            </w: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000" w:type="dxa"/>
            <w:vAlign w:val="bottom"/>
          </w:tcPr>
          <w:p>
            <w:pPr>
              <w:ind w:left="80"/>
              <w:spacing w:after="0"/>
              <w:rPr>
                <w:sz w:val="20"/>
                <w:szCs w:val="20"/>
                <w:color w:val="auto"/>
              </w:rPr>
            </w:pPr>
            <w:r>
              <w:rPr>
                <w:rFonts w:ascii="Arial" w:cs="Arial" w:eastAsia="Arial" w:hAnsi="Arial"/>
                <w:sz w:val="16"/>
                <w:szCs w:val="16"/>
                <w:color w:val="auto"/>
              </w:rPr>
              <w:t>September 30, 2025</w:t>
            </w:r>
          </w:p>
        </w:tc>
        <w:tc>
          <w:tcPr>
            <w:tcW w:w="200" w:type="dxa"/>
            <w:vAlign w:val="bottom"/>
          </w:tcPr>
          <w:p>
            <w:pPr>
              <w:spacing w:after="0"/>
              <w:rPr>
                <w:sz w:val="17"/>
                <w:szCs w:val="17"/>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6"/>
                <w:szCs w:val="16"/>
                <w:color w:val="auto"/>
              </w:rPr>
              <w:t>(111,542)</w:t>
            </w:r>
          </w:p>
        </w:tc>
        <w:tc>
          <w:tcPr>
            <w:tcW w:w="300" w:type="dxa"/>
            <w:vAlign w:val="bottom"/>
          </w:tcPr>
          <w:p>
            <w:pPr>
              <w:spacing w:after="0"/>
              <w:rPr>
                <w:sz w:val="17"/>
                <w:szCs w:val="17"/>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6"/>
                <w:szCs w:val="16"/>
                <w:color w:val="auto"/>
              </w:rPr>
              <w:t>(110,002)</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(10,377)</w:t>
            </w:r>
          </w:p>
        </w:tc>
        <w:tc>
          <w:tcPr>
            <w:tcW w:w="30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(10,640)</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45,615</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38,126</w:t>
            </w:r>
          </w:p>
        </w:tc>
        <w:tc>
          <w:tcPr>
            <w:tcW w:w="120" w:type="dxa"/>
            <w:vAlign w:val="bottom"/>
          </w:tcPr>
          <w:p>
            <w:pPr>
              <w:spacing w:after="0"/>
              <w:rPr>
                <w:sz w:val="16"/>
                <w:szCs w:val="16"/>
                <w:color w:val="auto"/>
              </w:rPr>
            </w:pPr>
          </w:p>
        </w:tc>
      </w:tr>
      <w:tr>
        <w:trPr>
          <w:trHeight w:val="183"/>
        </w:trPr>
        <w:tc>
          <w:tcPr>
            <w:tcW w:w="70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215,265</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203,242</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000" w:type="dxa"/>
            <w:vAlign w:val="bottom"/>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369,144</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375,101</w:t>
            </w:r>
          </w:p>
        </w:tc>
        <w:tc>
          <w:tcPr>
            <w:tcW w:w="12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-2973705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-2973705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-1979295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-153670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4" w:name="page15"/>
    <w:bookmarkEnd w:id="14"/>
    <w:p>
      <w:pPr>
        <w:jc w:val="center"/>
        <w:ind w:right="740"/>
        <w:spacing w:after="0"/>
        <w:rPr>
          <w:sz w:val="20"/>
          <w:szCs w:val="20"/>
          <w:color w:val="auto"/>
        </w:rPr>
      </w:pPr>
      <w:r>
        <w:rPr>
          <w:rFonts w:ascii="Times New Roman" w:cs="Times New Roman" w:eastAsia="Times New Roman" w:hAnsi="Times New Roman"/>
          <w:sz w:val="20"/>
          <w:szCs w:val="20"/>
          <w:b w:val="1"/>
          <w:bCs w:val="1"/>
          <w:color w:val="auto"/>
        </w:rPr>
        <w:t>Liquidity Services and Subsidiaries</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Operations</w:t>
      </w:r>
    </w:p>
    <w:p>
      <w:pPr>
        <w:jc w:val="center"/>
        <w:ind w:right="740"/>
        <w:spacing w:after="0"/>
        <w:rPr>
          <w:sz w:val="20"/>
          <w:szCs w:val="20"/>
          <w:color w:val="auto"/>
        </w:rPr>
      </w:pPr>
      <w:r>
        <w:rPr>
          <w:rFonts w:ascii="Times New Roman" w:cs="Times New Roman" w:eastAsia="Times New Roman" w:hAnsi="Times New Roman"/>
          <w:sz w:val="20"/>
          <w:szCs w:val="20"/>
          <w:b w:val="1"/>
          <w:bCs w:val="1"/>
          <w:color w:val="auto"/>
        </w:rPr>
        <w:t>(Dollars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5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 revenues</w:t>
            </w:r>
          </w:p>
        </w:tc>
        <w:tc>
          <w:tcPr>
            <w:tcW w:w="182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77,352</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82,815</w:t>
            </w:r>
          </w:p>
        </w:tc>
        <w:tc>
          <w:tcPr>
            <w:tcW w:w="100" w:type="dxa"/>
            <w:vAlign w:val="bottom"/>
            <w:shd w:val="clear" w:color="auto" w:fill="CFF0FC"/>
          </w:tcPr>
          <w:p>
            <w:pPr>
              <w:spacing w:after="0"/>
              <w:rPr>
                <w:sz w:val="15"/>
                <w:szCs w:val="15"/>
                <w:color w:val="auto"/>
              </w:rPr>
            </w:pP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Consignment and other fee revenues</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43,867</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39,516</w:t>
            </w:r>
          </w:p>
        </w:tc>
        <w:tc>
          <w:tcPr>
            <w:tcW w:w="100" w:type="dxa"/>
            <w:vAlign w:val="bottom"/>
          </w:tcPr>
          <w:p>
            <w:pPr>
              <w:spacing w:after="0"/>
              <w:rPr>
                <w:sz w:val="16"/>
                <w:szCs w:val="16"/>
                <w:color w:val="auto"/>
              </w:rPr>
            </w:pPr>
          </w:p>
        </w:tc>
      </w:tr>
      <w:tr>
        <w:trPr>
          <w:trHeight w:val="183"/>
        </w:trPr>
        <w:tc>
          <w:tcPr>
            <w:tcW w:w="588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Total revenue</w:t>
            </w:r>
          </w:p>
        </w:tc>
        <w:tc>
          <w:tcPr>
            <w:tcW w:w="144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121,219</w:t>
            </w:r>
          </w:p>
        </w:tc>
        <w:tc>
          <w:tcPr>
            <w:tcW w:w="50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122,331</w:t>
            </w:r>
          </w:p>
        </w:tc>
        <w:tc>
          <w:tcPr>
            <w:tcW w:w="100" w:type="dxa"/>
            <w:vAlign w:val="bottom"/>
            <w:shd w:val="clear" w:color="auto" w:fill="CFF0FC"/>
          </w:tcPr>
          <w:p>
            <w:pPr>
              <w:spacing w:after="0"/>
              <w:rPr>
                <w:sz w:val="15"/>
                <w:szCs w:val="15"/>
                <w:color w:val="auto"/>
              </w:rPr>
            </w:pP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Costs and expenses from operations:</w:t>
            </w: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Cost of goods sold (excludes depreciation and amortization)</w:t>
            </w:r>
          </w:p>
        </w:tc>
        <w:tc>
          <w:tcPr>
            <w:tcW w:w="1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64,186</w:t>
            </w:r>
          </w:p>
        </w:tc>
        <w:tc>
          <w:tcPr>
            <w:tcW w:w="5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72,164</w:t>
            </w:r>
          </w:p>
        </w:tc>
        <w:tc>
          <w:tcPr>
            <w:tcW w:w="100" w:type="dxa"/>
            <w:vAlign w:val="bottom"/>
            <w:shd w:val="clear" w:color="auto" w:fill="CFF0FC"/>
          </w:tcPr>
          <w:p>
            <w:pPr>
              <w:spacing w:after="0"/>
              <w:rPr>
                <w:sz w:val="16"/>
                <w:szCs w:val="16"/>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Technology and operations</w:t>
            </w: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18,296</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17,407</w:t>
            </w:r>
          </w:p>
        </w:tc>
        <w:tc>
          <w:tcPr>
            <w:tcW w:w="100" w:type="dxa"/>
            <w:vAlign w:val="bottom"/>
          </w:tcPr>
          <w:p>
            <w:pPr>
              <w:spacing w:after="0"/>
              <w:rPr>
                <w:sz w:val="16"/>
                <w:szCs w:val="16"/>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and marketing</w:t>
            </w:r>
          </w:p>
        </w:tc>
        <w:tc>
          <w:tcPr>
            <w:tcW w:w="1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17,018</w:t>
            </w:r>
          </w:p>
        </w:tc>
        <w:tc>
          <w:tcPr>
            <w:tcW w:w="5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14,774</w:t>
            </w:r>
          </w:p>
        </w:tc>
        <w:tc>
          <w:tcPr>
            <w:tcW w:w="100" w:type="dxa"/>
            <w:vAlign w:val="bottom"/>
            <w:shd w:val="clear" w:color="auto" w:fill="CFF0FC"/>
          </w:tcPr>
          <w:p>
            <w:pPr>
              <w:spacing w:after="0"/>
              <w:rPr>
                <w:sz w:val="16"/>
                <w:szCs w:val="16"/>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9,765</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8,267</w:t>
            </w:r>
          </w:p>
        </w:tc>
        <w:tc>
          <w:tcPr>
            <w:tcW w:w="100" w:type="dxa"/>
            <w:vAlign w:val="bottom"/>
          </w:tcPr>
          <w:p>
            <w:pPr>
              <w:spacing w:after="0"/>
              <w:rPr>
                <w:sz w:val="16"/>
                <w:szCs w:val="16"/>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Depreciation and amortization</w:t>
            </w:r>
          </w:p>
        </w:tc>
        <w:tc>
          <w:tcPr>
            <w:tcW w:w="1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2,583</w:t>
            </w:r>
          </w:p>
        </w:tc>
        <w:tc>
          <w:tcPr>
            <w:tcW w:w="5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w:t>
            </w:r>
          </w:p>
        </w:tc>
        <w:tc>
          <w:tcPr>
            <w:tcW w:w="100" w:type="dxa"/>
            <w:vAlign w:val="bottom"/>
            <w:shd w:val="clear" w:color="auto" w:fill="CFF0FC"/>
          </w:tcPr>
          <w:p>
            <w:pPr>
              <w:spacing w:after="0"/>
              <w:rPr>
                <w:sz w:val="16"/>
                <w:szCs w:val="16"/>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Other operating expenses</w:t>
            </w: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6"/>
                <w:szCs w:val="16"/>
                <w:color w:val="auto"/>
              </w:rPr>
            </w:pPr>
          </w:p>
        </w:tc>
      </w:tr>
      <w:tr>
        <w:trPr>
          <w:trHeight w:val="183"/>
        </w:trPr>
        <w:tc>
          <w:tcPr>
            <w:tcW w:w="5880" w:type="dxa"/>
            <w:vAlign w:val="bottom"/>
            <w:tcBorders>
              <w:bottom w:val="single" w:sz="8" w:color="CFF0FC"/>
            </w:tcBorders>
            <w:shd w:val="clear" w:color="auto" w:fill="CFF0FC"/>
          </w:tcPr>
          <w:p>
            <w:pPr>
              <w:ind w:left="280"/>
              <w:spacing w:after="0" w:line="183" w:lineRule="exact"/>
              <w:rPr>
                <w:sz w:val="20"/>
                <w:szCs w:val="20"/>
                <w:color w:val="auto"/>
              </w:rPr>
            </w:pPr>
            <w:r>
              <w:rPr>
                <w:rFonts w:ascii="Arial" w:cs="Arial" w:eastAsia="Arial" w:hAnsi="Arial"/>
                <w:sz w:val="16"/>
                <w:szCs w:val="16"/>
                <w:color w:val="auto"/>
              </w:rPr>
              <w:t>Total costs and expenses</w:t>
            </w:r>
          </w:p>
        </w:tc>
        <w:tc>
          <w:tcPr>
            <w:tcW w:w="14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111,848</w:t>
            </w:r>
          </w:p>
        </w:tc>
        <w:tc>
          <w:tcPr>
            <w:tcW w:w="5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115,244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Income from operations</w:t>
            </w: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9,371</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7,087</w:t>
            </w:r>
          </w:p>
        </w:tc>
        <w:tc>
          <w:tcPr>
            <w:tcW w:w="100" w:type="dxa"/>
            <w:vAlign w:val="bottom"/>
          </w:tcPr>
          <w:p>
            <w:pPr>
              <w:spacing w:after="0"/>
              <w:rPr>
                <w:sz w:val="15"/>
                <w:szCs w:val="15"/>
                <w:color w:val="auto"/>
              </w:rPr>
            </w:pPr>
          </w:p>
        </w:tc>
      </w:tr>
      <w:tr>
        <w:trPr>
          <w:trHeight w:val="18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1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(1,146)</w:t>
            </w:r>
          </w:p>
        </w:tc>
        <w:tc>
          <w:tcPr>
            <w:tcW w:w="3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(1,103)</w:t>
            </w:r>
          </w:p>
        </w:tc>
      </w:tr>
      <w:tr>
        <w:trPr>
          <w:trHeight w:val="183"/>
        </w:trPr>
        <w:tc>
          <w:tcPr>
            <w:tcW w:w="58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Income before provision for income taxes</w:t>
            </w:r>
          </w:p>
        </w:tc>
        <w:tc>
          <w:tcPr>
            <w:tcW w:w="144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10,517</w:t>
            </w:r>
          </w:p>
        </w:tc>
        <w:tc>
          <w:tcPr>
            <w:tcW w:w="5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8,190</w:t>
            </w:r>
          </w:p>
        </w:tc>
        <w:tc>
          <w:tcPr>
            <w:tcW w:w="100" w:type="dxa"/>
            <w:vAlign w:val="bottom"/>
            <w:tcBorders>
              <w:top w:val="single" w:sz="8" w:color="CFF0FC"/>
            </w:tcBorders>
          </w:tcPr>
          <w:p>
            <w:pPr>
              <w:spacing w:after="0"/>
              <w:rPr>
                <w:sz w:val="15"/>
                <w:szCs w:val="15"/>
                <w:color w:val="auto"/>
              </w:rPr>
            </w:pPr>
          </w:p>
        </w:tc>
      </w:tr>
      <w:tr>
        <w:trPr>
          <w:trHeight w:val="189"/>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4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3,028</w:t>
            </w:r>
          </w:p>
        </w:tc>
        <w:tc>
          <w:tcPr>
            <w:tcW w:w="5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182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7,489</w:t>
            </w:r>
          </w:p>
        </w:tc>
        <w:tc>
          <w:tcPr>
            <w:tcW w:w="500" w:type="dxa"/>
            <w:vAlign w:val="bottom"/>
          </w:tcPr>
          <w:p>
            <w:pPr>
              <w:spacing w:after="0"/>
              <w:rPr>
                <w:sz w:val="15"/>
                <w:szCs w:val="15"/>
                <w:color w:val="auto"/>
              </w:rPr>
            </w:pPr>
          </w:p>
        </w:tc>
        <w:tc>
          <w:tcPr>
            <w:tcW w:w="380" w:type="dxa"/>
            <w:vAlign w:val="bottom"/>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5,810</w:t>
            </w:r>
          </w:p>
        </w:tc>
        <w:tc>
          <w:tcPr>
            <w:tcW w:w="100" w:type="dxa"/>
            <w:vAlign w:val="bottom"/>
          </w:tcPr>
          <w:p>
            <w:pPr>
              <w:spacing w:after="0"/>
              <w:rPr>
                <w:sz w:val="15"/>
                <w:szCs w:val="15"/>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588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Basic income per common share</w:t>
            </w:r>
          </w:p>
        </w:tc>
        <w:tc>
          <w:tcPr>
            <w:tcW w:w="1820" w:type="dxa"/>
            <w:vAlign w:val="bottom"/>
            <w:gridSpan w:val="2"/>
            <w:shd w:val="clear" w:color="auto" w:fill="CFF0FC"/>
          </w:tcPr>
          <w:p>
            <w:pPr>
              <w:jc w:val="right"/>
              <w:ind w:right="300"/>
              <w:spacing w:after="0" w:line="170"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0.24</w:t>
            </w:r>
          </w:p>
        </w:tc>
        <w:tc>
          <w:tcPr>
            <w:tcW w:w="50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0.19</w:t>
            </w:r>
          </w:p>
        </w:tc>
        <w:tc>
          <w:tcPr>
            <w:tcW w:w="100" w:type="dxa"/>
            <w:vAlign w:val="bottom"/>
            <w:shd w:val="clear" w:color="auto" w:fill="CFF0FC"/>
          </w:tcPr>
          <w:p>
            <w:pPr>
              <w:spacing w:after="0"/>
              <w:rPr>
                <w:sz w:val="16"/>
                <w:szCs w:val="16"/>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69"/>
        </w:trPr>
        <w:tc>
          <w:tcPr>
            <w:tcW w:w="5880" w:type="dxa"/>
            <w:vAlign w:val="bottom"/>
          </w:tcPr>
          <w:p>
            <w:pPr>
              <w:spacing w:after="0" w:line="170" w:lineRule="exact"/>
              <w:rPr>
                <w:sz w:val="20"/>
                <w:szCs w:val="20"/>
                <w:color w:val="auto"/>
              </w:rPr>
            </w:pPr>
            <w:r>
              <w:rPr>
                <w:rFonts w:ascii="Arial" w:cs="Arial" w:eastAsia="Arial" w:hAnsi="Arial"/>
                <w:sz w:val="16"/>
                <w:szCs w:val="16"/>
                <w:color w:val="auto"/>
              </w:rPr>
              <w:t>Diluted income per common share</w:t>
            </w:r>
          </w:p>
        </w:tc>
        <w:tc>
          <w:tcPr>
            <w:tcW w:w="1820" w:type="dxa"/>
            <w:vAlign w:val="bottom"/>
            <w:gridSpan w:val="2"/>
          </w:tcPr>
          <w:p>
            <w:pPr>
              <w:jc w:val="right"/>
              <w:ind w:right="300"/>
              <w:spacing w:after="0" w:line="170"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0" w:lineRule="exact"/>
              <w:rPr>
                <w:sz w:val="20"/>
                <w:szCs w:val="20"/>
                <w:color w:val="auto"/>
              </w:rPr>
            </w:pPr>
            <w:r>
              <w:rPr>
                <w:rFonts w:ascii="Arial" w:cs="Arial" w:eastAsia="Arial" w:hAnsi="Arial"/>
                <w:sz w:val="16"/>
                <w:szCs w:val="16"/>
                <w:color w:val="auto"/>
              </w:rPr>
              <w:t>0.23</w:t>
            </w:r>
          </w:p>
        </w:tc>
        <w:tc>
          <w:tcPr>
            <w:tcW w:w="500" w:type="dxa"/>
            <w:vAlign w:val="bottom"/>
          </w:tcPr>
          <w:p>
            <w:pPr>
              <w:spacing w:after="0"/>
              <w:rPr>
                <w:sz w:val="14"/>
                <w:szCs w:val="14"/>
                <w:color w:val="auto"/>
              </w:rPr>
            </w:pPr>
          </w:p>
        </w:tc>
        <w:tc>
          <w:tcPr>
            <w:tcW w:w="380" w:type="dxa"/>
            <w:vAlign w:val="bottom"/>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70" w:lineRule="exact"/>
              <w:rPr>
                <w:sz w:val="20"/>
                <w:szCs w:val="20"/>
                <w:color w:val="auto"/>
              </w:rPr>
            </w:pPr>
            <w:r>
              <w:rPr>
                <w:rFonts w:ascii="Arial" w:cs="Arial" w:eastAsia="Arial" w:hAnsi="Arial"/>
                <w:sz w:val="16"/>
                <w:szCs w:val="16"/>
                <w:color w:val="auto"/>
              </w:rPr>
              <w:t>0.18</w:t>
            </w:r>
          </w:p>
        </w:tc>
        <w:tc>
          <w:tcPr>
            <w:tcW w:w="100" w:type="dxa"/>
            <w:vAlign w:val="bottom"/>
          </w:tcPr>
          <w:p>
            <w:pPr>
              <w:spacing w:after="0"/>
              <w:rPr>
                <w:sz w:val="14"/>
                <w:szCs w:val="14"/>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8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Basic weighted average shares outstanding</w:t>
            </w:r>
          </w:p>
        </w:tc>
        <w:tc>
          <w:tcPr>
            <w:tcW w:w="14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30,637,211</w:t>
            </w:r>
          </w:p>
        </w:tc>
        <w:tc>
          <w:tcPr>
            <w:tcW w:w="5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30,642,438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0"/>
        </w:trPr>
        <w:tc>
          <w:tcPr>
            <w:tcW w:w="5880" w:type="dxa"/>
            <w:vAlign w:val="bottom"/>
          </w:tcPr>
          <w:p>
            <w:pPr>
              <w:spacing w:after="0" w:line="170" w:lineRule="exact"/>
              <w:rPr>
                <w:sz w:val="20"/>
                <w:szCs w:val="20"/>
                <w:color w:val="auto"/>
              </w:rPr>
            </w:pPr>
            <w:r>
              <w:rPr>
                <w:rFonts w:ascii="Arial" w:cs="Arial" w:eastAsia="Arial" w:hAnsi="Arial"/>
                <w:sz w:val="16"/>
                <w:szCs w:val="16"/>
                <w:color w:val="auto"/>
              </w:rPr>
              <w:t>Diluted weighted average shares outstanding</w:t>
            </w:r>
          </w:p>
        </w:tc>
        <w:tc>
          <w:tcPr>
            <w:tcW w:w="1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32,295,229</w:t>
            </w:r>
          </w:p>
        </w:tc>
        <w:tc>
          <w:tcPr>
            <w:tcW w:w="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32,204,055</w:t>
            </w:r>
          </w:p>
        </w:tc>
        <w:tc>
          <w:tcPr>
            <w:tcW w:w="100" w:type="dxa"/>
            <w:vAlign w:val="bottom"/>
          </w:tcPr>
          <w:p>
            <w:pPr>
              <w:spacing w:after="0"/>
              <w:rPr>
                <w:sz w:val="14"/>
                <w:szCs w:val="14"/>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-1233805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-985520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-736600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-462280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-445135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-153670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p>
      <w:pPr>
        <w:jc w:val="center"/>
        <w:ind w:right="800"/>
        <w:spacing w:after="0"/>
        <w:rPr>
          <w:sz w:val="20"/>
          <w:szCs w:val="20"/>
          <w:color w:val="auto"/>
        </w:rPr>
      </w:pPr>
      <w:r>
        <w:rPr>
          <w:rFonts w:ascii="Times New Roman" w:cs="Times New Roman" w:eastAsia="Times New Roman" w:hAnsi="Times New Roman"/>
          <w:sz w:val="20"/>
          <w:szCs w:val="20"/>
          <w:b w:val="1"/>
          <w:bCs w:val="1"/>
          <w:color w:val="auto"/>
        </w:rPr>
        <w:t>Liquidity Services and Subsidiaries</w:t>
      </w:r>
    </w:p>
    <w:p>
      <w:pPr>
        <w:spacing w:after="0" w:line="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0"/>
          <w:szCs w:val="20"/>
          <w:b w:val="1"/>
          <w:bCs w:val="1"/>
          <w:color w:val="auto"/>
        </w:rPr>
        <w:t>Unaudited Condensed Consolidated Statements of Cash Flows</w:t>
      </w:r>
    </w:p>
    <w:p>
      <w:pPr>
        <w:jc w:val="center"/>
        <w:ind w:right="74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December 31,</w:t>
            </w:r>
          </w:p>
        </w:tc>
      </w:tr>
      <w:tr>
        <w:trPr>
          <w:trHeight w:val="156"/>
        </w:trPr>
        <w:tc>
          <w:tcPr>
            <w:tcW w:w="79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83"/>
        </w:trPr>
        <w:tc>
          <w:tcPr>
            <w:tcW w:w="79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7,489</w:t>
            </w:r>
          </w:p>
        </w:tc>
        <w:tc>
          <w:tcPr>
            <w:tcW w:w="3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5,810</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2,583</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Stock compensation expense</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6,174</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ind w:left="80"/>
              <w:spacing w:after="0"/>
              <w:rPr>
                <w:sz w:val="20"/>
                <w:szCs w:val="20"/>
                <w:color w:val="auto"/>
              </w:rPr>
            </w:pPr>
            <w:r>
              <w:rPr>
                <w:rFonts w:ascii="Arial" w:cs="Arial" w:eastAsia="Arial" w:hAnsi="Arial"/>
                <w:sz w:val="16"/>
                <w:szCs w:val="16"/>
                <w:color w:val="auto"/>
              </w:rPr>
              <w:t>Inventory adjustment to net realizable value</w:t>
            </w:r>
          </w:p>
        </w:tc>
        <w:tc>
          <w:tcPr>
            <w:tcW w:w="2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ind w:left="80"/>
              <w:spacing w:after="0"/>
              <w:rPr>
                <w:sz w:val="20"/>
                <w:szCs w:val="20"/>
                <w:color w:val="auto"/>
              </w:rPr>
            </w:pPr>
            <w:r>
              <w:rPr>
                <w:rFonts w:ascii="Arial" w:cs="Arial" w:eastAsia="Arial" w:hAnsi="Arial"/>
                <w:sz w:val="16"/>
                <w:szCs w:val="16"/>
                <w:color w:val="auto"/>
              </w:rPr>
              <w:t>Deferred tax expense</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ind w:left="80"/>
              <w:spacing w:after="0"/>
              <w:rPr>
                <w:sz w:val="20"/>
                <w:szCs w:val="20"/>
                <w:color w:val="auto"/>
              </w:rPr>
            </w:pPr>
            <w:r>
              <w:rPr>
                <w:rFonts w:ascii="Arial" w:cs="Arial" w:eastAsia="Arial" w:hAnsi="Arial"/>
                <w:sz w:val="16"/>
                <w:szCs w:val="16"/>
                <w:color w:val="auto"/>
              </w:rPr>
              <w:t>Gain on disposal of property and equipment</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r>
      <w:tr>
        <w:trPr>
          <w:trHeight w:val="189"/>
        </w:trPr>
        <w:tc>
          <w:tcPr>
            <w:tcW w:w="7940" w:type="dxa"/>
            <w:vAlign w:val="bottom"/>
          </w:tcPr>
          <w:p>
            <w:pPr>
              <w:ind w:left="8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(155)</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(11,747)</w:t>
            </w:r>
          </w:p>
        </w:tc>
      </w:tr>
      <w:tr>
        <w:trPr>
          <w:trHeight w:val="189"/>
        </w:trPr>
        <w:tc>
          <w:tcPr>
            <w:tcW w:w="79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(869)</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(3,151)</w:t>
            </w:r>
          </w:p>
        </w:tc>
      </w:tr>
      <w:tr>
        <w:trPr>
          <w:trHeight w:val="189"/>
        </w:trPr>
        <w:tc>
          <w:tcPr>
            <w:tcW w:w="79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taxes and tax refund receivable</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(477)</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w:t>
            </w:r>
          </w:p>
        </w:tc>
      </w:tr>
      <w:tr>
        <w:trPr>
          <w:trHeight w:val="189"/>
        </w:trPr>
        <w:tc>
          <w:tcPr>
            <w:tcW w:w="794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1,835</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Operating lease assets and liabilities</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(246)</w:t>
            </w:r>
          </w:p>
        </w:tc>
      </w:tr>
      <w:tr>
        <w:trPr>
          <w:trHeight w:val="189"/>
        </w:trPr>
        <w:tc>
          <w:tcPr>
            <w:tcW w:w="79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(8,607)</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(6,638)</w:t>
            </w:r>
          </w:p>
        </w:tc>
      </w:tr>
      <w:tr>
        <w:trPr>
          <w:trHeight w:val="189"/>
        </w:trPr>
        <w:tc>
          <w:tcPr>
            <w:tcW w:w="79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(7,334)</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(5,206)</w:t>
            </w:r>
          </w:p>
        </w:tc>
      </w:tr>
      <w:tr>
        <w:trPr>
          <w:trHeight w:val="189"/>
        </w:trPr>
        <w:tc>
          <w:tcPr>
            <w:tcW w:w="79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(235)</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(348)</w:t>
            </w:r>
          </w:p>
        </w:tc>
      </w:tr>
      <w:tr>
        <w:trPr>
          <w:trHeight w:val="189"/>
        </w:trPr>
        <w:tc>
          <w:tcPr>
            <w:tcW w:w="79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Payables to sellers</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(1,491)</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w:t>
            </w:r>
          </w:p>
        </w:tc>
      </w:tr>
      <w:tr>
        <w:trPr>
          <w:trHeight w:val="183"/>
        </w:trPr>
        <w:tc>
          <w:tcPr>
            <w:tcW w:w="7940" w:type="dxa"/>
            <w:vAlign w:val="bottom"/>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(526)</w:t>
            </w:r>
          </w:p>
        </w:tc>
        <w:tc>
          <w:tcPr>
            <w:tcW w:w="3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(12,140)</w:t>
            </w:r>
          </w:p>
        </w:tc>
        <w:tc>
          <w:tcPr>
            <w:tcW w:w="100" w:type="dxa"/>
            <w:vAlign w:val="bottom"/>
          </w:tcPr>
          <w:p>
            <w:pPr>
              <w:spacing w:after="0"/>
              <w:rPr>
                <w:sz w:val="15"/>
                <w:szCs w:val="15"/>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2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(2,269)</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(1,818)</w:t>
            </w: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Purchase of short-term investments</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(2,971)</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(10,671)</w:t>
            </w: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Maturities of short-term investments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2,717</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Other investing activities, net</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r>
      <w:tr>
        <w:trPr>
          <w:trHeight w:val="20"/>
        </w:trPr>
        <w:tc>
          <w:tcPr>
            <w:tcW w:w="7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94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5"/>
                <w:szCs w:val="15"/>
                <w:color w:val="auto"/>
              </w:rPr>
            </w:pPr>
          </w:p>
        </w:tc>
        <w:tc>
          <w:tcPr>
            <w:tcW w:w="152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(2,453)</w:t>
            </w:r>
          </w:p>
        </w:tc>
        <w:tc>
          <w:tcPr>
            <w:tcW w:w="32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(10,408)</w:t>
            </w: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Common stock repurchases</w:t>
            </w:r>
          </w:p>
        </w:tc>
        <w:tc>
          <w:tcPr>
            <w:tcW w:w="2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(1,473)</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Taxes paid associated with net settlement of stock compensation awards</w:t>
            </w:r>
          </w:p>
        </w:tc>
        <w:tc>
          <w:tcPr>
            <w:tcW w:w="24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(1,168)</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(883)</w:t>
            </w: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Payments of the principal portion of finance lease liabilities</w:t>
            </w:r>
          </w:p>
        </w:tc>
        <w:tc>
          <w:tcPr>
            <w:tcW w:w="2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 net of tax</w:t>
            </w:r>
          </w:p>
        </w:tc>
        <w:tc>
          <w:tcPr>
            <w:tcW w:w="2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30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FF0FC"/>
          </w:tcPr>
          <w:p>
            <w:pPr>
              <w:spacing w:after="0"/>
              <w:rPr>
                <w:sz w:val="16"/>
                <w:szCs w:val="16"/>
                <w:color w:val="auto"/>
              </w:rPr>
            </w:pPr>
          </w:p>
        </w:tc>
      </w:tr>
      <w:tr>
        <w:trPr>
          <w:trHeight w:val="183"/>
        </w:trPr>
        <w:tc>
          <w:tcPr>
            <w:tcW w:w="7940" w:type="dxa"/>
            <w:vAlign w:val="bottom"/>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(1,930)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(872)</w:t>
            </w:r>
          </w:p>
        </w:tc>
        <w:tc>
          <w:tcPr>
            <w:tcW w:w="100" w:type="dxa"/>
            <w:vAlign w:val="bottom"/>
          </w:tcPr>
          <w:p>
            <w:pPr>
              <w:spacing w:after="0"/>
              <w:rPr>
                <w:sz w:val="15"/>
                <w:szCs w:val="15"/>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differences on cash and cash equivalents</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(1,106)</w:t>
            </w:r>
          </w:p>
        </w:tc>
      </w:tr>
      <w:tr>
        <w:trPr>
          <w:trHeight w:val="20"/>
        </w:trPr>
        <w:tc>
          <w:tcPr>
            <w:tcW w:w="7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940" w:type="dxa"/>
            <w:vAlign w:val="bottom"/>
          </w:tcPr>
          <w:p>
            <w:pPr>
              <w:spacing w:after="0" w:line="183" w:lineRule="exact"/>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15"/>
                <w:szCs w:val="15"/>
                <w:color w:val="auto"/>
              </w:rPr>
            </w:pPr>
          </w:p>
        </w:tc>
        <w:tc>
          <w:tcPr>
            <w:tcW w:w="152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(4,807)</w:t>
            </w:r>
          </w:p>
        </w:tc>
        <w:tc>
          <w:tcPr>
            <w:tcW w:w="32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(24,526)</w:t>
            </w:r>
          </w:p>
        </w:tc>
      </w:tr>
      <w:tr>
        <w:trPr>
          <w:trHeight w:val="189"/>
        </w:trPr>
        <w:tc>
          <w:tcPr>
            <w:tcW w:w="7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174,607</w:t>
            </w:r>
          </w:p>
        </w:tc>
        <w:tc>
          <w:tcPr>
            <w:tcW w:w="3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153,226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940" w:type="dxa"/>
            <w:vAlign w:val="bottom"/>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169,800</w:t>
            </w:r>
          </w:p>
        </w:tc>
        <w:tc>
          <w:tcPr>
            <w:tcW w:w="30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128,700</w:t>
            </w:r>
          </w:p>
        </w:tc>
        <w:tc>
          <w:tcPr>
            <w:tcW w:w="10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94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6"/>
                <w:szCs w:val="16"/>
                <w:color w:val="auto"/>
              </w:rPr>
              <w:t>Cash paid for income taxes,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2,961</w:t>
            </w:r>
          </w:p>
        </w:tc>
        <w:tc>
          <w:tcPr>
            <w:tcW w:w="3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6"/>
                <w:szCs w:val="16"/>
                <w:color w:val="auto"/>
              </w:rPr>
            </w:pPr>
          </w:p>
        </w:tc>
      </w:tr>
      <w:tr>
        <w:trPr>
          <w:trHeight w:val="189"/>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Non-cash: Common stock surrendered in the exercise of stock options</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-1739265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-762635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-513715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bullet"/>
      <w:start w:val="1"/>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2026-02-05T06:05:22Z</dcterms:created>
  <dcterms:modified xsi:type="dcterms:W3CDTF">2026-02-05T06:05:22Z</dcterms:modified>
</cp:coreProperties>
</file>